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C41A5">
      <w:pPr>
        <w:jc w:val="center"/>
        <w:rPr>
          <w:rFonts w:hint="eastAsia" w:asciiTheme="majorEastAsia" w:hAnsiTheme="majorEastAsia" w:eastAsiaTheme="majorEastAsia" w:cstheme="majorEastAsia"/>
          <w:b/>
          <w:bCs/>
          <w:kern w:val="0"/>
          <w:sz w:val="44"/>
          <w:szCs w:val="44"/>
          <w:lang w:val="en-US" w:eastAsia="zh-CN"/>
        </w:rPr>
      </w:pPr>
      <w:bookmarkStart w:id="0" w:name="_Toc455738165"/>
      <w:r>
        <w:rPr>
          <w:rFonts w:hint="eastAsia" w:asciiTheme="majorEastAsia" w:hAnsiTheme="majorEastAsia" w:eastAsiaTheme="majorEastAsia" w:cstheme="majorEastAsia"/>
          <w:b/>
          <w:bCs/>
          <w:kern w:val="0"/>
          <w:sz w:val="44"/>
          <w:szCs w:val="44"/>
          <w:lang w:val="en-US" w:eastAsia="zh-CN"/>
        </w:rPr>
        <w:t>广州医科大学附属口腔医院</w:t>
      </w:r>
    </w:p>
    <w:p w14:paraId="02A91229">
      <w:pPr>
        <w:jc w:val="center"/>
        <w:rPr>
          <w:rFonts w:hint="eastAsia" w:asciiTheme="majorEastAsia" w:hAnsiTheme="majorEastAsia" w:eastAsiaTheme="majorEastAsia" w:cstheme="majorEastAsia"/>
          <w:b/>
          <w:bCs/>
          <w:kern w:val="0"/>
          <w:sz w:val="44"/>
          <w:szCs w:val="44"/>
        </w:rPr>
      </w:pPr>
      <w:r>
        <w:rPr>
          <w:rFonts w:hint="eastAsia" w:asciiTheme="majorEastAsia" w:hAnsiTheme="majorEastAsia" w:eastAsiaTheme="majorEastAsia" w:cstheme="majorEastAsia"/>
          <w:b/>
          <w:bCs/>
          <w:kern w:val="0"/>
          <w:sz w:val="44"/>
          <w:szCs w:val="44"/>
          <w:lang w:val="en-US" w:eastAsia="zh-CN"/>
        </w:rPr>
        <w:t>饮用水采购</w:t>
      </w:r>
      <w:r>
        <w:rPr>
          <w:rFonts w:hint="eastAsia" w:asciiTheme="majorEastAsia" w:hAnsiTheme="majorEastAsia" w:eastAsiaTheme="majorEastAsia" w:cstheme="majorEastAsia"/>
          <w:b/>
          <w:bCs/>
          <w:kern w:val="0"/>
          <w:sz w:val="44"/>
          <w:szCs w:val="44"/>
        </w:rPr>
        <w:t>项目需求书</w:t>
      </w:r>
      <w:bookmarkEnd w:id="0"/>
    </w:p>
    <w:p w14:paraId="048CFA5C">
      <w:pPr>
        <w:keepNext w:val="0"/>
        <w:keepLines w:val="0"/>
        <w:pageBreakBefore w:val="0"/>
        <w:widowControl w:val="0"/>
        <w:kinsoku/>
        <w:wordWrap/>
        <w:overflowPunct/>
        <w:topLinePunct w:val="0"/>
        <w:autoSpaceDE/>
        <w:autoSpaceDN/>
        <w:bidi w:val="0"/>
        <w:spacing w:line="360" w:lineRule="exact"/>
        <w:ind w:left="0" w:right="0" w:rightChars="0" w:firstLine="422" w:firstLineChars="200"/>
        <w:textAlignment w:val="auto"/>
        <w:rPr>
          <w:rFonts w:hint="default" w:ascii="Times New Roman" w:hAnsi="Times New Roman" w:cs="Times New Roman" w:eastAsiaTheme="minorEastAsia"/>
          <w:b/>
          <w:kern w:val="2"/>
          <w:sz w:val="21"/>
          <w:szCs w:val="21"/>
        </w:rPr>
      </w:pPr>
      <w:r>
        <w:rPr>
          <w:rFonts w:hint="default" w:ascii="Times New Roman" w:hAnsi="Times New Roman" w:cs="Times New Roman" w:eastAsiaTheme="minorEastAsia"/>
          <w:b/>
          <w:sz w:val="21"/>
          <w:szCs w:val="21"/>
        </w:rPr>
        <w:t>一、项目概况</w:t>
      </w:r>
    </w:p>
    <w:p w14:paraId="4A71E515">
      <w:pPr>
        <w:pStyle w:val="7"/>
        <w:keepNext w:val="0"/>
        <w:keepLines w:val="0"/>
        <w:pageBreakBefore w:val="0"/>
        <w:kinsoku/>
        <w:wordWrap/>
        <w:overflowPunct/>
        <w:topLinePunct w:val="0"/>
        <w:autoSpaceDE/>
        <w:autoSpaceDN/>
        <w:bidi w:val="0"/>
        <w:spacing w:line="360" w:lineRule="exact"/>
        <w:ind w:firstLine="422" w:firstLineChars="200"/>
        <w:textAlignment w:val="auto"/>
        <w:rPr>
          <w:rFonts w:hint="default" w:ascii="Times New Roman" w:hAnsi="Times New Roman" w:cs="Times New Roman" w:eastAsiaTheme="minorEastAsia"/>
          <w:b/>
          <w:bCs/>
          <w:sz w:val="21"/>
          <w:szCs w:val="21"/>
        </w:rPr>
      </w:pPr>
      <w:r>
        <w:rPr>
          <w:rFonts w:hint="default" w:ascii="Times New Roman" w:hAnsi="Times New Roman" w:cs="Times New Roman" w:eastAsiaTheme="minorEastAsia"/>
          <w:b/>
          <w:bCs/>
          <w:sz w:val="21"/>
          <w:szCs w:val="21"/>
        </w:rPr>
        <w:t>（一）项目属性：货物。</w:t>
      </w:r>
    </w:p>
    <w:p w14:paraId="4C0E7D51">
      <w:pPr>
        <w:pStyle w:val="3"/>
        <w:keepNext w:val="0"/>
        <w:keepLines w:val="0"/>
        <w:pageBreakBefore w:val="0"/>
        <w:widowControl w:val="0"/>
        <w:kinsoku/>
        <w:wordWrap/>
        <w:overflowPunct/>
        <w:topLinePunct w:val="0"/>
        <w:autoSpaceDE/>
        <w:autoSpaceDN/>
        <w:bidi w:val="0"/>
        <w:adjustRightInd w:val="0"/>
        <w:snapToGrid w:val="0"/>
        <w:spacing w:line="360" w:lineRule="exact"/>
        <w:ind w:left="0" w:right="0" w:rightChars="0" w:firstLine="422" w:firstLineChars="200"/>
        <w:textAlignment w:val="auto"/>
        <w:rPr>
          <w:rFonts w:hint="default" w:ascii="Times New Roman" w:hAnsi="Times New Roman" w:cs="Times New Roman" w:eastAsiaTheme="minorEastAsia"/>
          <w:b/>
          <w:bCs/>
          <w:sz w:val="21"/>
          <w:szCs w:val="21"/>
          <w:lang w:val="en-US" w:eastAsia="zh-CN"/>
        </w:rPr>
      </w:pPr>
      <w:r>
        <w:rPr>
          <w:rFonts w:hint="default" w:ascii="Times New Roman" w:hAnsi="Times New Roman" w:cs="Times New Roman" w:eastAsiaTheme="minorEastAsia"/>
          <w:b/>
          <w:bCs/>
          <w:sz w:val="21"/>
          <w:szCs w:val="21"/>
        </w:rPr>
        <w:t>（二）项目品目：A07050501 生活饮用水</w:t>
      </w:r>
      <w:r>
        <w:rPr>
          <w:rFonts w:hint="default" w:ascii="Times New Roman" w:hAnsi="Times New Roman" w:cs="Times New Roman" w:eastAsiaTheme="minorEastAsia"/>
          <w:b/>
          <w:bCs/>
          <w:sz w:val="21"/>
          <w:szCs w:val="21"/>
          <w:lang w:eastAsia="zh-CN"/>
        </w:rPr>
        <w:t>（桶装水</w:t>
      </w:r>
      <w:r>
        <w:rPr>
          <w:rFonts w:hint="default" w:ascii="Times New Roman" w:hAnsi="Times New Roman" w:cs="Times New Roman" w:eastAsiaTheme="minorEastAsia"/>
          <w:b/>
          <w:bCs/>
          <w:sz w:val="21"/>
          <w:szCs w:val="21"/>
          <w:lang w:val="en-US" w:eastAsia="zh-CN"/>
        </w:rPr>
        <w:t>+支装水）</w:t>
      </w:r>
    </w:p>
    <w:p w14:paraId="722868C0">
      <w:pPr>
        <w:pStyle w:val="3"/>
        <w:keepNext w:val="0"/>
        <w:keepLines w:val="0"/>
        <w:pageBreakBefore w:val="0"/>
        <w:widowControl w:val="0"/>
        <w:kinsoku/>
        <w:wordWrap/>
        <w:overflowPunct/>
        <w:topLinePunct w:val="0"/>
        <w:autoSpaceDE/>
        <w:autoSpaceDN/>
        <w:bidi w:val="0"/>
        <w:adjustRightInd w:val="0"/>
        <w:snapToGrid w:val="0"/>
        <w:spacing w:line="360" w:lineRule="exact"/>
        <w:ind w:left="0" w:right="0" w:rightChars="0" w:firstLine="422" w:firstLineChars="200"/>
        <w:textAlignment w:val="auto"/>
        <w:rPr>
          <w:rFonts w:hint="default" w:ascii="Times New Roman" w:hAnsi="Times New Roman" w:cs="Times New Roman" w:eastAsiaTheme="minorEastAsia"/>
          <w:b w:val="0"/>
          <w:bCs w:val="0"/>
          <w:sz w:val="21"/>
          <w:szCs w:val="21"/>
          <w:lang w:eastAsia="zh-CN"/>
        </w:rPr>
      </w:pPr>
      <w:r>
        <w:rPr>
          <w:rFonts w:hint="default" w:ascii="Times New Roman" w:hAnsi="Times New Roman" w:cs="Times New Roman" w:eastAsiaTheme="minorEastAsia"/>
          <w:b/>
          <w:bCs/>
          <w:sz w:val="21"/>
          <w:szCs w:val="21"/>
          <w:lang w:val="en-US" w:eastAsia="zh-CN"/>
        </w:rPr>
        <w:t>（三）</w:t>
      </w:r>
      <w:r>
        <w:rPr>
          <w:rFonts w:hint="default" w:ascii="Times New Roman" w:hAnsi="Times New Roman" w:cs="Times New Roman" w:eastAsiaTheme="minorEastAsia"/>
          <w:b/>
          <w:bCs/>
          <w:sz w:val="21"/>
          <w:szCs w:val="21"/>
        </w:rPr>
        <w:t>项目实施时间、地点</w:t>
      </w:r>
      <w:r>
        <w:rPr>
          <w:rFonts w:hint="default" w:ascii="Times New Roman" w:hAnsi="Times New Roman" w:cs="Times New Roman" w:eastAsiaTheme="minorEastAsia"/>
          <w:b/>
          <w:bCs/>
          <w:sz w:val="21"/>
          <w:szCs w:val="21"/>
          <w:lang w:eastAsia="zh-CN"/>
        </w:rPr>
        <w:t>：</w:t>
      </w:r>
    </w:p>
    <w:p w14:paraId="0B988D15">
      <w:pPr>
        <w:pStyle w:val="7"/>
        <w:keepNext w:val="0"/>
        <w:keepLines w:val="0"/>
        <w:pageBreakBefore w:val="0"/>
        <w:kinsoku/>
        <w:wordWrap/>
        <w:overflowPunct/>
        <w:topLinePunct w:val="0"/>
        <w:autoSpaceDE/>
        <w:autoSpaceDN/>
        <w:bidi w:val="0"/>
        <w:spacing w:line="360" w:lineRule="exact"/>
        <w:ind w:firstLine="630" w:firstLineChars="300"/>
        <w:jc w:val="both"/>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val="0"/>
          <w:bCs w:val="0"/>
          <w:sz w:val="21"/>
          <w:szCs w:val="21"/>
        </w:rPr>
        <w:t>1、项目实施时间：</w:t>
      </w:r>
      <w:r>
        <w:rPr>
          <w:rFonts w:hint="default" w:ascii="Times New Roman" w:hAnsi="Times New Roman" w:cs="Times New Roman" w:eastAsiaTheme="minorEastAsia"/>
          <w:b w:val="0"/>
          <w:bCs w:val="0"/>
          <w:color w:val="FF0000"/>
          <w:sz w:val="21"/>
          <w:szCs w:val="21"/>
          <w:lang w:eastAsia="zh-CN"/>
        </w:rPr>
        <w:t>三</w:t>
      </w:r>
      <w:r>
        <w:rPr>
          <w:rFonts w:hint="default" w:ascii="Times New Roman" w:hAnsi="Times New Roman" w:cs="Times New Roman" w:eastAsiaTheme="minorEastAsia"/>
          <w:b w:val="0"/>
          <w:bCs w:val="0"/>
          <w:sz w:val="21"/>
          <w:szCs w:val="21"/>
        </w:rPr>
        <w:t>年或累计实际结算款项达到合同总价，以先到者为准。</w:t>
      </w:r>
    </w:p>
    <w:p w14:paraId="1AF6784E">
      <w:pPr>
        <w:pStyle w:val="7"/>
        <w:keepNext w:val="0"/>
        <w:keepLines w:val="0"/>
        <w:pageBreakBefore w:val="0"/>
        <w:kinsoku/>
        <w:wordWrap/>
        <w:overflowPunct/>
        <w:topLinePunct w:val="0"/>
        <w:autoSpaceDE/>
        <w:autoSpaceDN/>
        <w:bidi w:val="0"/>
        <w:spacing w:line="360" w:lineRule="exact"/>
        <w:ind w:firstLine="630" w:firstLineChars="300"/>
        <w:jc w:val="both"/>
        <w:textAlignment w:val="auto"/>
        <w:rPr>
          <w:rFonts w:hint="default" w:ascii="Times New Roman" w:hAnsi="Times New Roman" w:cs="Times New Roman" w:eastAsiaTheme="minorEastAsia"/>
          <w:b w:val="0"/>
          <w:bCs w:val="0"/>
          <w:sz w:val="21"/>
          <w:szCs w:val="21"/>
          <w:lang w:eastAsia="zh-CN"/>
        </w:rPr>
      </w:pPr>
      <w:r>
        <w:rPr>
          <w:rFonts w:hint="default" w:ascii="Times New Roman" w:hAnsi="Times New Roman" w:cs="Times New Roman" w:eastAsiaTheme="minorEastAsia"/>
          <w:b w:val="0"/>
          <w:bCs w:val="0"/>
          <w:sz w:val="21"/>
          <w:szCs w:val="21"/>
        </w:rPr>
        <w:t>2、项目实施地点：广州医科大学附属</w:t>
      </w:r>
      <w:r>
        <w:rPr>
          <w:rFonts w:hint="default" w:ascii="Times New Roman" w:hAnsi="Times New Roman" w:cs="Times New Roman" w:eastAsiaTheme="minorEastAsia"/>
          <w:b w:val="0"/>
          <w:bCs w:val="0"/>
          <w:sz w:val="21"/>
          <w:szCs w:val="21"/>
          <w:lang w:eastAsia="zh-CN"/>
        </w:rPr>
        <w:t>口腔医院五个</w:t>
      </w:r>
      <w:r>
        <w:rPr>
          <w:rFonts w:hint="default" w:ascii="Times New Roman" w:hAnsi="Times New Roman" w:cs="Times New Roman" w:eastAsiaTheme="minorEastAsia"/>
          <w:b w:val="0"/>
          <w:bCs w:val="0"/>
          <w:sz w:val="21"/>
          <w:szCs w:val="21"/>
        </w:rPr>
        <w:t>院区</w:t>
      </w:r>
      <w:r>
        <w:rPr>
          <w:rFonts w:hint="default" w:ascii="Times New Roman" w:hAnsi="Times New Roman" w:cs="Times New Roman" w:eastAsiaTheme="minorEastAsia"/>
          <w:b w:val="0"/>
          <w:bCs w:val="0"/>
          <w:sz w:val="21"/>
          <w:szCs w:val="21"/>
          <w:lang w:eastAsia="zh-CN"/>
        </w:rPr>
        <w:t>（门诊部）</w:t>
      </w:r>
    </w:p>
    <w:p w14:paraId="5ADCD37B">
      <w:pPr>
        <w:pStyle w:val="7"/>
        <w:keepNext w:val="0"/>
        <w:keepLines w:val="0"/>
        <w:pageBreakBefore w:val="0"/>
        <w:kinsoku/>
        <w:wordWrap/>
        <w:overflowPunct/>
        <w:topLinePunct w:val="0"/>
        <w:autoSpaceDE/>
        <w:autoSpaceDN/>
        <w:bidi w:val="0"/>
        <w:spacing w:line="360" w:lineRule="exact"/>
        <w:ind w:firstLine="42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（1）</w:t>
      </w:r>
      <w:r>
        <w:rPr>
          <w:rFonts w:hint="default" w:ascii="Times New Roman" w:hAnsi="Times New Roman" w:cs="Times New Roman" w:eastAsiaTheme="minorEastAsia"/>
          <w:b w:val="0"/>
          <w:bCs w:val="0"/>
          <w:sz w:val="21"/>
          <w:szCs w:val="21"/>
          <w:lang w:eastAsia="zh-CN"/>
        </w:rPr>
        <w:t>荔湾</w:t>
      </w:r>
      <w:r>
        <w:rPr>
          <w:rFonts w:hint="default" w:ascii="Times New Roman" w:hAnsi="Times New Roman" w:cs="Times New Roman" w:eastAsiaTheme="minorEastAsia"/>
          <w:b w:val="0"/>
          <w:bCs w:val="0"/>
          <w:sz w:val="21"/>
          <w:szCs w:val="21"/>
        </w:rPr>
        <w:t>院区（</w:t>
      </w:r>
      <w:r>
        <w:rPr>
          <w:rFonts w:hint="default" w:ascii="Times New Roman" w:hAnsi="Times New Roman" w:cs="Times New Roman" w:eastAsiaTheme="minorEastAsia"/>
          <w:b w:val="0"/>
          <w:bCs w:val="0"/>
          <w:sz w:val="21"/>
          <w:szCs w:val="21"/>
          <w:lang w:eastAsia="zh-CN"/>
        </w:rPr>
        <w:t>荔湾区黄沙大道</w:t>
      </w:r>
      <w:r>
        <w:rPr>
          <w:rFonts w:hint="default" w:ascii="Times New Roman" w:hAnsi="Times New Roman" w:cs="Times New Roman" w:eastAsiaTheme="minorEastAsia"/>
          <w:b w:val="0"/>
          <w:bCs w:val="0"/>
          <w:sz w:val="21"/>
          <w:szCs w:val="21"/>
          <w:lang w:val="en-US" w:eastAsia="zh-CN"/>
        </w:rPr>
        <w:t>31、39、59</w:t>
      </w:r>
      <w:r>
        <w:rPr>
          <w:rFonts w:hint="default" w:ascii="Times New Roman" w:hAnsi="Times New Roman" w:cs="Times New Roman" w:eastAsiaTheme="minorEastAsia"/>
          <w:b w:val="0"/>
          <w:bCs w:val="0"/>
          <w:sz w:val="21"/>
          <w:szCs w:val="21"/>
        </w:rPr>
        <w:t>号）</w:t>
      </w:r>
    </w:p>
    <w:p w14:paraId="4484DE97">
      <w:pPr>
        <w:pStyle w:val="7"/>
        <w:keepNext w:val="0"/>
        <w:keepLines w:val="0"/>
        <w:pageBreakBefore w:val="0"/>
        <w:kinsoku/>
        <w:wordWrap/>
        <w:overflowPunct/>
        <w:topLinePunct w:val="0"/>
        <w:autoSpaceDE/>
        <w:autoSpaceDN/>
        <w:bidi w:val="0"/>
        <w:spacing w:line="360" w:lineRule="exact"/>
        <w:ind w:firstLine="42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（2）</w:t>
      </w:r>
      <w:r>
        <w:rPr>
          <w:rFonts w:hint="default" w:ascii="Times New Roman" w:hAnsi="Times New Roman" w:cs="Times New Roman" w:eastAsiaTheme="minorEastAsia"/>
          <w:b w:val="0"/>
          <w:bCs w:val="0"/>
          <w:sz w:val="21"/>
          <w:szCs w:val="21"/>
          <w:lang w:eastAsia="zh-CN"/>
        </w:rPr>
        <w:t>越秀</w:t>
      </w:r>
      <w:r>
        <w:rPr>
          <w:rFonts w:hint="default" w:ascii="Times New Roman" w:hAnsi="Times New Roman" w:cs="Times New Roman" w:eastAsiaTheme="minorEastAsia"/>
          <w:b w:val="0"/>
          <w:bCs w:val="0"/>
          <w:sz w:val="21"/>
          <w:szCs w:val="21"/>
        </w:rPr>
        <w:t>院区（越秀区</w:t>
      </w:r>
      <w:r>
        <w:rPr>
          <w:rFonts w:hint="default" w:ascii="Times New Roman" w:hAnsi="Times New Roman" w:cs="Times New Roman" w:eastAsiaTheme="minorEastAsia"/>
          <w:b w:val="0"/>
          <w:bCs w:val="0"/>
          <w:sz w:val="21"/>
          <w:szCs w:val="21"/>
          <w:lang w:eastAsia="zh-CN"/>
        </w:rPr>
        <w:t>东风西路</w:t>
      </w:r>
      <w:r>
        <w:rPr>
          <w:rFonts w:hint="default" w:ascii="Times New Roman" w:hAnsi="Times New Roman" w:cs="Times New Roman" w:eastAsiaTheme="minorEastAsia"/>
          <w:b w:val="0"/>
          <w:bCs w:val="0"/>
          <w:sz w:val="21"/>
          <w:szCs w:val="21"/>
          <w:lang w:val="en-US" w:eastAsia="zh-CN"/>
        </w:rPr>
        <w:t>195</w:t>
      </w:r>
      <w:r>
        <w:rPr>
          <w:rFonts w:hint="default" w:ascii="Times New Roman" w:hAnsi="Times New Roman" w:cs="Times New Roman" w:eastAsiaTheme="minorEastAsia"/>
          <w:b w:val="0"/>
          <w:bCs w:val="0"/>
          <w:sz w:val="21"/>
          <w:szCs w:val="21"/>
        </w:rPr>
        <w:t>号）</w:t>
      </w:r>
    </w:p>
    <w:p w14:paraId="7FC32FB9">
      <w:pPr>
        <w:pStyle w:val="7"/>
        <w:keepNext w:val="0"/>
        <w:keepLines w:val="0"/>
        <w:pageBreakBefore w:val="0"/>
        <w:kinsoku/>
        <w:wordWrap/>
        <w:overflowPunct/>
        <w:topLinePunct w:val="0"/>
        <w:autoSpaceDE/>
        <w:autoSpaceDN/>
        <w:bidi w:val="0"/>
        <w:spacing w:line="360" w:lineRule="exact"/>
        <w:ind w:firstLine="42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（3）</w:t>
      </w:r>
      <w:r>
        <w:rPr>
          <w:rFonts w:hint="default" w:ascii="Times New Roman" w:hAnsi="Times New Roman" w:cs="Times New Roman" w:eastAsiaTheme="minorEastAsia"/>
          <w:b w:val="0"/>
          <w:bCs w:val="0"/>
          <w:sz w:val="21"/>
          <w:szCs w:val="21"/>
          <w:lang w:eastAsia="zh-CN"/>
        </w:rPr>
        <w:t>客村门诊部</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eastAsia="zh-CN"/>
        </w:rPr>
        <w:t>海珠区艺苑路南丽苑</w:t>
      </w:r>
      <w:r>
        <w:rPr>
          <w:rFonts w:hint="default" w:ascii="Times New Roman" w:hAnsi="Times New Roman" w:cs="Times New Roman" w:eastAsiaTheme="minorEastAsia"/>
          <w:b w:val="0"/>
          <w:bCs w:val="0"/>
          <w:sz w:val="21"/>
          <w:szCs w:val="21"/>
          <w:lang w:val="en-US" w:eastAsia="zh-CN"/>
        </w:rPr>
        <w:t>47号</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eastAsia="zh-CN"/>
        </w:rPr>
        <w:t>，</w:t>
      </w:r>
      <w:r>
        <w:rPr>
          <w:rFonts w:hint="default" w:ascii="Times New Roman" w:hAnsi="Times New Roman" w:cs="Times New Roman" w:eastAsiaTheme="minorEastAsia"/>
          <w:b w:val="0"/>
          <w:bCs w:val="0"/>
          <w:color w:val="auto"/>
          <w:sz w:val="21"/>
          <w:szCs w:val="21"/>
          <w:lang w:eastAsia="zh-CN"/>
        </w:rPr>
        <w:t>该院区尚在装修施工中</w:t>
      </w:r>
      <w:r>
        <w:rPr>
          <w:rFonts w:hint="default" w:ascii="Times New Roman" w:hAnsi="Times New Roman" w:cs="Times New Roman" w:eastAsiaTheme="minorEastAsia"/>
          <w:b w:val="0"/>
          <w:bCs w:val="0"/>
          <w:color w:val="auto"/>
          <w:sz w:val="21"/>
          <w:szCs w:val="21"/>
          <w:lang w:val="en-US" w:eastAsia="zh-CN"/>
        </w:rPr>
        <w:t>，提供服务时间以院方的通知为准。</w:t>
      </w:r>
    </w:p>
    <w:p w14:paraId="1248A8AE">
      <w:pPr>
        <w:pStyle w:val="7"/>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（4）</w:t>
      </w:r>
      <w:r>
        <w:rPr>
          <w:rFonts w:hint="default" w:ascii="Times New Roman" w:hAnsi="Times New Roman" w:cs="Times New Roman" w:eastAsiaTheme="minorEastAsia"/>
          <w:b w:val="0"/>
          <w:bCs w:val="0"/>
          <w:sz w:val="21"/>
          <w:szCs w:val="21"/>
          <w:lang w:eastAsia="zh-CN"/>
        </w:rPr>
        <w:t>东晓南门诊部</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eastAsia="zh-CN"/>
        </w:rPr>
        <w:t>海珠区南洲路晓港湾文华街</w:t>
      </w:r>
      <w:r>
        <w:rPr>
          <w:rFonts w:hint="default" w:ascii="Times New Roman" w:hAnsi="Times New Roman" w:cs="Times New Roman" w:eastAsiaTheme="minorEastAsia"/>
          <w:b w:val="0"/>
          <w:bCs w:val="0"/>
          <w:sz w:val="21"/>
          <w:szCs w:val="21"/>
          <w:lang w:val="en-US" w:eastAsia="zh-CN"/>
        </w:rPr>
        <w:t>11号</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eastAsia="zh-CN"/>
        </w:rPr>
        <w:t>，</w:t>
      </w:r>
      <w:r>
        <w:rPr>
          <w:rFonts w:hint="default" w:ascii="Times New Roman" w:hAnsi="Times New Roman" w:cs="Times New Roman" w:eastAsiaTheme="minorEastAsia"/>
          <w:b w:val="0"/>
          <w:bCs w:val="0"/>
          <w:color w:val="auto"/>
          <w:sz w:val="21"/>
          <w:szCs w:val="21"/>
          <w:lang w:eastAsia="zh-CN"/>
        </w:rPr>
        <w:t>该院区租赁期</w:t>
      </w:r>
      <w:r>
        <w:rPr>
          <w:rFonts w:hint="default" w:ascii="Times New Roman" w:hAnsi="Times New Roman" w:cs="Times New Roman" w:eastAsiaTheme="minorEastAsia"/>
          <w:b w:val="0"/>
          <w:bCs w:val="0"/>
          <w:color w:val="auto"/>
          <w:sz w:val="21"/>
          <w:szCs w:val="21"/>
          <w:lang w:val="en-US" w:eastAsia="zh-CN"/>
        </w:rPr>
        <w:t>到期后，后续是否需要提供服务以院方的通知为准。</w:t>
      </w:r>
    </w:p>
    <w:p w14:paraId="5DA0B7A9">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rPr>
        <w:t>（5）</w:t>
      </w:r>
      <w:r>
        <w:rPr>
          <w:rFonts w:hint="default" w:ascii="Times New Roman" w:hAnsi="Times New Roman" w:cs="Times New Roman" w:eastAsiaTheme="minorEastAsia"/>
          <w:b w:val="0"/>
          <w:bCs w:val="0"/>
          <w:sz w:val="21"/>
          <w:szCs w:val="21"/>
          <w:lang w:eastAsia="zh-CN"/>
        </w:rPr>
        <w:t>克山门诊部</w:t>
      </w:r>
      <w:r>
        <w:rPr>
          <w:rFonts w:hint="default" w:ascii="Times New Roman" w:hAnsi="Times New Roman" w:cs="Times New Roman" w:eastAsiaTheme="minorEastAsia"/>
          <w:b w:val="0"/>
          <w:bCs w:val="0"/>
          <w:sz w:val="21"/>
          <w:szCs w:val="21"/>
        </w:rPr>
        <w:t>（</w:t>
      </w:r>
      <w:r>
        <w:rPr>
          <w:rFonts w:hint="default" w:ascii="Times New Roman" w:hAnsi="Times New Roman" w:cs="Times New Roman" w:eastAsiaTheme="minorEastAsia"/>
          <w:b w:val="0"/>
          <w:bCs w:val="0"/>
          <w:sz w:val="21"/>
          <w:szCs w:val="21"/>
          <w:lang w:eastAsia="zh-CN"/>
        </w:rPr>
        <w:t>荔湾区环市西路</w:t>
      </w:r>
      <w:r>
        <w:rPr>
          <w:rFonts w:hint="default" w:ascii="Times New Roman" w:hAnsi="Times New Roman" w:cs="Times New Roman" w:eastAsiaTheme="minorEastAsia"/>
          <w:b w:val="0"/>
          <w:bCs w:val="0"/>
          <w:sz w:val="21"/>
          <w:szCs w:val="21"/>
          <w:lang w:val="en-US" w:eastAsia="zh-CN"/>
        </w:rPr>
        <w:t>102</w:t>
      </w:r>
      <w:r>
        <w:rPr>
          <w:rFonts w:hint="default" w:ascii="Times New Roman" w:hAnsi="Times New Roman" w:cs="Times New Roman" w:eastAsiaTheme="minorEastAsia"/>
          <w:b w:val="0"/>
          <w:bCs w:val="0"/>
          <w:sz w:val="21"/>
          <w:szCs w:val="21"/>
        </w:rPr>
        <w:t>号</w:t>
      </w:r>
      <w:r>
        <w:rPr>
          <w:rFonts w:hint="default" w:ascii="Times New Roman" w:hAnsi="Times New Roman" w:cs="Times New Roman" w:eastAsiaTheme="minorEastAsia"/>
          <w:b w:val="0"/>
          <w:bCs w:val="0"/>
          <w:sz w:val="21"/>
          <w:szCs w:val="21"/>
          <w:lang w:eastAsia="zh-CN"/>
        </w:rPr>
        <w:t>之一</w:t>
      </w:r>
      <w:r>
        <w:rPr>
          <w:rFonts w:hint="default" w:ascii="Times New Roman" w:hAnsi="Times New Roman" w:cs="Times New Roman" w:eastAsiaTheme="minorEastAsia"/>
          <w:b w:val="0"/>
          <w:bCs w:val="0"/>
          <w:sz w:val="21"/>
          <w:szCs w:val="21"/>
        </w:rPr>
        <w:t>）</w:t>
      </w:r>
    </w:p>
    <w:p w14:paraId="4AA02954">
      <w:pPr>
        <w:pStyle w:val="8"/>
        <w:keepNext w:val="0"/>
        <w:keepLines w:val="0"/>
        <w:pageBreakBefore w:val="0"/>
        <w:kinsoku/>
        <w:wordWrap/>
        <w:overflowPunct/>
        <w:topLinePunct w:val="0"/>
        <w:autoSpaceDE/>
        <w:autoSpaceDN/>
        <w:bidi w:val="0"/>
        <w:spacing w:line="360" w:lineRule="exact"/>
        <w:ind w:firstLine="422" w:firstLineChars="200"/>
        <w:jc w:val="left"/>
        <w:textAlignment w:val="auto"/>
        <w:rPr>
          <w:rFonts w:hint="default" w:ascii="Times New Roman" w:hAnsi="Times New Roman" w:cs="Times New Roman" w:eastAsiaTheme="minorEastAsia"/>
          <w:b/>
          <w:sz w:val="21"/>
          <w:szCs w:val="21"/>
        </w:rPr>
      </w:pPr>
      <w:r>
        <w:rPr>
          <w:rFonts w:hint="default" w:ascii="Times New Roman" w:hAnsi="Times New Roman" w:cs="Times New Roman" w:eastAsiaTheme="minorEastAsia"/>
          <w:b/>
          <w:sz w:val="21"/>
          <w:szCs w:val="21"/>
          <w:lang w:eastAsia="zh-CN"/>
        </w:rPr>
        <w:t>（四）</w:t>
      </w:r>
      <w:r>
        <w:rPr>
          <w:rFonts w:hint="default" w:ascii="Times New Roman" w:hAnsi="Times New Roman" w:cs="Times New Roman" w:eastAsiaTheme="minorEastAsia"/>
          <w:b/>
          <w:sz w:val="21"/>
          <w:szCs w:val="21"/>
        </w:rPr>
        <w:t>、供应商资格要求：</w:t>
      </w:r>
    </w:p>
    <w:p w14:paraId="4720C424">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1、供应商应具备《中华人民共和国政府采购法》第二十二条规定的条件，提供下列材料：</w:t>
      </w:r>
    </w:p>
    <w:p w14:paraId="7E8932F4">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1）具有独立承担民事责任的能力：在中华人民共和国境内注册的法人或其他组织或自然人，投标（响应）时提交有效的营业执照（或事业法人登记证或身份证等相关证明）副本复印件。</w:t>
      </w:r>
    </w:p>
    <w:p w14:paraId="7F78EE7D">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2）有依法缴纳税收和社会保障资金的良好记录：提供投标截止日前6个月内任意1个月依法缴纳税收和社会保障资金的相关材料。如依法免税或不需要缴纳社会保障资金的，提供相应证明材料（或提供相关资格声明函，格式自拟）。</w:t>
      </w:r>
    </w:p>
    <w:p w14:paraId="69C25886">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3）具有良好的商业信誉和健全的财务会计制度：供应商必须具有良好的商业信誉和健全的财务会计制度（提供2023年以来财务状况报告或基本开户行出具的资信证明）（或提供相关资格声明函，格式自拟）。</w:t>
      </w:r>
    </w:p>
    <w:p w14:paraId="17614F26">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4）履行合同所必须的设备和专业技术能力：按投标（响应）文件格式填报设备及专业技术能力情况。</w:t>
      </w:r>
    </w:p>
    <w:p w14:paraId="6806EBC4">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5）参加采购活动前3年内，在经营活动中没有重大违法记录：参照投标（报价）函相关承诺格式内容。重大违法记录，是指供应商因违法经营受到刑事处罚或者责令停产停业、吊销许可证或者执照、较大数额罚款等行政处罚。（“较大数额罚款”认定为200万元以上的罚款，法律、行政法规以及国务院有关部门明确规定相关领域“较大数额罚款”标准高于200万元的，从其规定）。</w:t>
      </w:r>
    </w:p>
    <w:p w14:paraId="72E2136E">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2、落实政府采购政策需满足的资格要求：本项目专门面向中小微企业采购，本项目采购标的对应行业为：批发业。</w:t>
      </w:r>
      <w:bookmarkStart w:id="1" w:name="_GoBack"/>
      <w:bookmarkEnd w:id="1"/>
    </w:p>
    <w:p w14:paraId="492E5E28">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3、如供应商为饮用水生产厂家，应具备有效的《食品生产许可证》、《中华人民共和国取水许可证》</w:t>
      </w:r>
      <w:r>
        <w:rPr>
          <w:rFonts w:hint="default" w:ascii="Times New Roman" w:hAnsi="Times New Roman" w:cs="Times New Roman" w:eastAsiaTheme="minorEastAsia"/>
          <w:sz w:val="21"/>
          <w:szCs w:val="21"/>
          <w:lang w:eastAsia="zh-CN"/>
        </w:rPr>
        <w:t>；</w:t>
      </w:r>
    </w:p>
    <w:p w14:paraId="4D0692D7">
      <w:pPr>
        <w:pStyle w:val="8"/>
        <w:keepNext w:val="0"/>
        <w:keepLines w:val="0"/>
        <w:pageBreakBefore w:val="0"/>
        <w:numPr>
          <w:ilvl w:val="0"/>
          <w:numId w:val="0"/>
        </w:numPr>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lang w:val="en-US" w:eastAsia="zh-CN"/>
        </w:rPr>
        <w:t>4、</w:t>
      </w:r>
      <w:r>
        <w:rPr>
          <w:rFonts w:hint="default" w:ascii="Times New Roman" w:hAnsi="Times New Roman" w:cs="Times New Roman" w:eastAsiaTheme="minorEastAsia"/>
          <w:sz w:val="21"/>
          <w:szCs w:val="21"/>
        </w:rPr>
        <w:t>如供应商为仅销售预包装食品的经销商，提供仅销售预包装食品备案证明（如国家另有规定，从其规定），同时需提供饮用水生产厂家的《食品生产许可证》、《中华人民共和国取水许可证》；</w:t>
      </w:r>
    </w:p>
    <w:p w14:paraId="16074B9D">
      <w:pPr>
        <w:pStyle w:val="8"/>
        <w:keepNext w:val="0"/>
        <w:keepLines w:val="0"/>
        <w:pageBreakBefore w:val="0"/>
        <w:numPr>
          <w:ilvl w:val="0"/>
          <w:numId w:val="0"/>
        </w:numPr>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lang w:val="en-US" w:eastAsia="zh-CN"/>
        </w:rPr>
        <w:t>5、</w:t>
      </w:r>
      <w:r>
        <w:rPr>
          <w:rFonts w:hint="default" w:ascii="Times New Roman" w:hAnsi="Times New Roman" w:cs="Times New Roman" w:eastAsiaTheme="minorEastAsia"/>
          <w:sz w:val="21"/>
          <w:szCs w:val="21"/>
        </w:rPr>
        <w:t>如供应商为第</w:t>
      </w: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lang w:val="en-US" w:eastAsia="zh-CN"/>
        </w:rPr>
        <w:t>2）</w:t>
      </w:r>
      <w:r>
        <w:rPr>
          <w:rFonts w:hint="default" w:ascii="Times New Roman" w:hAnsi="Times New Roman" w:cs="Times New Roman" w:eastAsiaTheme="minorEastAsia"/>
          <w:sz w:val="21"/>
          <w:szCs w:val="21"/>
        </w:rPr>
        <w:t>类情况以外的经销商，应具备有效的《食品经营许可证》，同时需提供饮用水生产厂家的《食品生产许可证》、《中华人民共和国取水许可证》。以上证照必须在有效期内，提供复印件加盖公章。</w:t>
      </w:r>
    </w:p>
    <w:p w14:paraId="4A6FBEBA">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eastAsia" w:ascii="Times New Roman" w:hAnsi="Times New Roman" w:cs="Times New Roman" w:eastAsiaTheme="minorEastAsia"/>
          <w:sz w:val="21"/>
          <w:szCs w:val="21"/>
          <w:lang w:val="en-US" w:eastAsia="zh-CN"/>
        </w:rPr>
        <w:t>6</w:t>
      </w:r>
      <w:r>
        <w:rPr>
          <w:rFonts w:hint="default" w:ascii="Times New Roman" w:hAnsi="Times New Roman" w:cs="Times New Roman" w:eastAsiaTheme="minorEastAsia"/>
          <w:sz w:val="21"/>
          <w:szCs w:val="21"/>
          <w:lang w:val="en-US" w:eastAsia="zh-CN"/>
        </w:rPr>
        <w:t>、</w:t>
      </w:r>
      <w:r>
        <w:rPr>
          <w:rFonts w:hint="default" w:ascii="Times New Roman" w:hAnsi="Times New Roman" w:cs="Times New Roman" w:eastAsiaTheme="minorEastAsia"/>
          <w:sz w:val="21"/>
          <w:szCs w:val="21"/>
        </w:rPr>
        <w:t>本项目特定的资格要求：</w:t>
      </w:r>
    </w:p>
    <w:p w14:paraId="3FAA59FD">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1）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响应）截止时间当天在“信用中国”网站（www.creditchina.gov.cn）及中国政府采购网（http://www.ccgp.gov.cn/）查询结果为准，如相关失信记录已失效，供应商需提供相关证明资料）。</w:t>
      </w:r>
    </w:p>
    <w:p w14:paraId="11FEC178">
      <w:pPr>
        <w:pStyle w:val="8"/>
        <w:keepNext w:val="0"/>
        <w:keepLines w:val="0"/>
        <w:pageBreakBefore w:val="0"/>
        <w:kinsoku/>
        <w:wordWrap/>
        <w:overflowPunct/>
        <w:topLinePunct w:val="0"/>
        <w:autoSpaceDE/>
        <w:autoSpaceDN/>
        <w:bidi w:val="0"/>
        <w:spacing w:line="360" w:lineRule="exact"/>
        <w:ind w:firstLine="420" w:firstLineChars="200"/>
        <w:jc w:val="lef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lang w:eastAsia="zh-CN"/>
        </w:rPr>
        <w:t>（</w:t>
      </w:r>
      <w:r>
        <w:rPr>
          <w:rFonts w:hint="default" w:ascii="Times New Roman" w:hAnsi="Times New Roman" w:cs="Times New Roman" w:eastAsiaTheme="minorEastAsia"/>
          <w:sz w:val="21"/>
          <w:szCs w:val="21"/>
        </w:rPr>
        <w:t>2）单位负责人为同一人或者存在直接控股、管理关系的不同供应商，不得同时参加本采购项目（或采购包）投标（响应）。为本项目提供整体设计、规范编制或者项目管理、监理、检测等服务的供应商，不得再参与本项目投标（响应）。投标（报价）函相关承诺要求内容。</w:t>
      </w:r>
    </w:p>
    <w:p w14:paraId="4664D5E7">
      <w:pPr>
        <w:pStyle w:val="3"/>
        <w:keepNext w:val="0"/>
        <w:keepLines w:val="0"/>
        <w:pageBreakBefore w:val="0"/>
        <w:widowControl w:val="0"/>
        <w:kinsoku/>
        <w:wordWrap/>
        <w:overflowPunct/>
        <w:topLinePunct w:val="0"/>
        <w:autoSpaceDE/>
        <w:autoSpaceDN/>
        <w:bidi w:val="0"/>
        <w:adjustRightInd w:val="0"/>
        <w:snapToGrid w:val="0"/>
        <w:spacing w:line="360" w:lineRule="exact"/>
        <w:ind w:left="0" w:right="0" w:rightChars="0" w:firstLine="422" w:firstLineChars="20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b/>
          <w:bCs/>
          <w:sz w:val="21"/>
          <w:szCs w:val="21"/>
        </w:rPr>
        <w:t>★</w:t>
      </w:r>
      <w:r>
        <w:rPr>
          <w:rFonts w:hint="default" w:ascii="Times New Roman" w:hAnsi="Times New Roman" w:cs="Times New Roman" w:eastAsiaTheme="minorEastAsia"/>
          <w:b/>
          <w:bCs/>
          <w:sz w:val="21"/>
          <w:szCs w:val="21"/>
          <w:lang w:val="en-US" w:eastAsia="zh-CN"/>
        </w:rPr>
        <w:t>（五）报价要求</w:t>
      </w:r>
    </w:p>
    <w:p w14:paraId="02F1C8EE">
      <w:pPr>
        <w:pStyle w:val="7"/>
        <w:keepNext w:val="0"/>
        <w:keepLines w:val="0"/>
        <w:pageBreakBefore w:val="0"/>
        <w:kinsoku/>
        <w:wordWrap/>
        <w:overflowPunct/>
        <w:topLinePunct w:val="0"/>
        <w:autoSpaceDE/>
        <w:autoSpaceDN/>
        <w:bidi w:val="0"/>
        <w:spacing w:line="360" w:lineRule="exact"/>
        <w:ind w:firstLine="420"/>
        <w:jc w:val="both"/>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1、</w:t>
      </w:r>
      <w:r>
        <w:rPr>
          <w:rFonts w:hint="default" w:ascii="Times New Roman" w:hAnsi="Times New Roman" w:cs="Times New Roman" w:eastAsiaTheme="minorEastAsia"/>
          <w:b w:val="0"/>
          <w:bCs w:val="0"/>
          <w:sz w:val="21"/>
          <w:szCs w:val="21"/>
        </w:rPr>
        <w:t>本项目采用单价包干形式。本项目的价格评审以投标总价为依据，投标人在云平台系统上所报价格须为投标总价（即：投标报价）。投标人若中标，在履行合同期间内中标单价不可改变，供货时按采购人实际需求的饮用水对应品种数量进行供货及办理合同结算手续【实际结算货款=∑（对应品种饮用水水票的中标单价*对应品种饮用水的实际供应数量）】。</w:t>
      </w:r>
    </w:p>
    <w:p w14:paraId="5A04596F">
      <w:pPr>
        <w:pStyle w:val="7"/>
        <w:keepNext w:val="0"/>
        <w:keepLines w:val="0"/>
        <w:pageBreakBefore w:val="0"/>
        <w:kinsoku/>
        <w:wordWrap/>
        <w:overflowPunct/>
        <w:topLinePunct w:val="0"/>
        <w:autoSpaceDE/>
        <w:autoSpaceDN/>
        <w:bidi w:val="0"/>
        <w:spacing w:line="360" w:lineRule="exact"/>
        <w:ind w:firstLine="422"/>
        <w:jc w:val="both"/>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2、</w:t>
      </w:r>
      <w:r>
        <w:rPr>
          <w:rFonts w:hint="default" w:ascii="Times New Roman" w:hAnsi="Times New Roman" w:cs="Times New Roman" w:eastAsiaTheme="minorEastAsia"/>
          <w:b w:val="0"/>
          <w:bCs w:val="0"/>
          <w:sz w:val="21"/>
          <w:szCs w:val="21"/>
          <w:u w:val="none"/>
        </w:rPr>
        <w:t>投标单价为饮用水对应品种的单价报价，单价报价不得高于对应品种饮用水的单价最高限价；投标总价=∑（对应品种饮用水水票的单价报价*对应品种饮用水的</w:t>
      </w:r>
      <w:r>
        <w:rPr>
          <w:rFonts w:hint="default" w:ascii="Times New Roman" w:hAnsi="Times New Roman" w:cs="Times New Roman" w:eastAsiaTheme="minorEastAsia"/>
          <w:b w:val="0"/>
          <w:bCs w:val="0"/>
          <w:sz w:val="21"/>
          <w:szCs w:val="21"/>
          <w:u w:val="none"/>
          <w:lang w:val="en-US" w:eastAsia="zh-CN"/>
        </w:rPr>
        <w:t>3</w:t>
      </w:r>
      <w:r>
        <w:rPr>
          <w:rFonts w:hint="default" w:ascii="Times New Roman" w:hAnsi="Times New Roman" w:cs="Times New Roman" w:eastAsiaTheme="minorEastAsia"/>
          <w:b w:val="0"/>
          <w:bCs w:val="0"/>
          <w:sz w:val="21"/>
          <w:szCs w:val="21"/>
          <w:u w:val="none"/>
        </w:rPr>
        <w:t>年使用预估量），须包含但不限于以下全部费用：货物价格、仓储费、包装、运输费、送货费、储水桶使用费、饮水机清洗消毒服务费、饮水机使用费、税费，以及为完成本项目所引起的费用。</w:t>
      </w:r>
    </w:p>
    <w:p w14:paraId="10CD7C5C">
      <w:pPr>
        <w:pStyle w:val="7"/>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b w:val="0"/>
          <w:bCs w:val="0"/>
          <w:sz w:val="21"/>
          <w:szCs w:val="21"/>
          <w:lang w:val="en-US" w:eastAsia="zh-CN"/>
        </w:rPr>
        <w:t xml:space="preserve">   3、</w:t>
      </w:r>
      <w:r>
        <w:rPr>
          <w:rFonts w:hint="default" w:ascii="Times New Roman" w:hAnsi="Times New Roman" w:cs="Times New Roman" w:eastAsiaTheme="minorEastAsia"/>
          <w:b w:val="0"/>
          <w:bCs w:val="0"/>
          <w:sz w:val="21"/>
          <w:szCs w:val="21"/>
        </w:rPr>
        <w:t>采购人</w:t>
      </w:r>
      <w:r>
        <w:rPr>
          <w:rFonts w:hint="default" w:ascii="Times New Roman" w:hAnsi="Times New Roman" w:cs="Times New Roman" w:eastAsiaTheme="minorEastAsia"/>
          <w:b w:val="0"/>
          <w:bCs w:val="0"/>
          <w:sz w:val="21"/>
          <w:szCs w:val="21"/>
          <w:lang w:val="en-US" w:eastAsia="zh-CN"/>
        </w:rPr>
        <w:t>3</w:t>
      </w:r>
      <w:r>
        <w:rPr>
          <w:rFonts w:hint="default" w:ascii="Times New Roman" w:hAnsi="Times New Roman" w:cs="Times New Roman" w:eastAsiaTheme="minorEastAsia"/>
          <w:b w:val="0"/>
          <w:bCs w:val="0"/>
          <w:sz w:val="21"/>
          <w:szCs w:val="21"/>
        </w:rPr>
        <w:t>年饮用水的使用预估量为：桶装水约</w:t>
      </w:r>
      <w:r>
        <w:rPr>
          <w:rFonts w:hint="default" w:ascii="Times New Roman" w:hAnsi="Times New Roman" w:cs="Times New Roman" w:eastAsiaTheme="minorEastAsia"/>
          <w:b w:val="0"/>
          <w:bCs w:val="0"/>
          <w:color w:val="FF0000"/>
          <w:sz w:val="21"/>
          <w:szCs w:val="21"/>
          <w:lang w:val="en-US" w:eastAsia="zh-CN"/>
        </w:rPr>
        <w:t>40</w:t>
      </w:r>
      <w:r>
        <w:rPr>
          <w:rFonts w:hint="default" w:ascii="Times New Roman" w:hAnsi="Times New Roman" w:cs="Times New Roman" w:eastAsiaTheme="minorEastAsia"/>
          <w:b w:val="0"/>
          <w:bCs w:val="0"/>
          <w:color w:val="FF0000"/>
          <w:sz w:val="21"/>
          <w:szCs w:val="21"/>
        </w:rPr>
        <w:t>000</w:t>
      </w:r>
      <w:r>
        <w:rPr>
          <w:rFonts w:hint="default" w:ascii="Times New Roman" w:hAnsi="Times New Roman" w:cs="Times New Roman" w:eastAsiaTheme="minorEastAsia"/>
          <w:b w:val="0"/>
          <w:bCs w:val="0"/>
          <w:sz w:val="21"/>
          <w:szCs w:val="21"/>
        </w:rPr>
        <w:t>桶，瓶装水约</w:t>
      </w:r>
      <w:r>
        <w:rPr>
          <w:rFonts w:hint="default" w:ascii="Times New Roman" w:hAnsi="Times New Roman" w:cs="Times New Roman" w:eastAsiaTheme="minorEastAsia"/>
          <w:b w:val="0"/>
          <w:bCs w:val="0"/>
          <w:color w:val="FF0000"/>
          <w:sz w:val="21"/>
          <w:szCs w:val="21"/>
          <w:lang w:val="en-US" w:eastAsia="zh-CN"/>
        </w:rPr>
        <w:t>50</w:t>
      </w:r>
      <w:r>
        <w:rPr>
          <w:rFonts w:hint="default" w:ascii="Times New Roman" w:hAnsi="Times New Roman" w:cs="Times New Roman" w:eastAsiaTheme="minorEastAsia"/>
          <w:b w:val="0"/>
          <w:bCs w:val="0"/>
          <w:color w:val="FF0000"/>
          <w:sz w:val="21"/>
          <w:szCs w:val="21"/>
        </w:rPr>
        <w:t>00</w:t>
      </w:r>
      <w:r>
        <w:rPr>
          <w:rFonts w:hint="default" w:ascii="Times New Roman" w:hAnsi="Times New Roman" w:cs="Times New Roman" w:eastAsiaTheme="minorEastAsia"/>
          <w:b w:val="0"/>
          <w:bCs w:val="0"/>
          <w:sz w:val="21"/>
          <w:szCs w:val="21"/>
        </w:rPr>
        <w:t>箱。饮用水供货数量以采购人实际需求为准。预估量仅供投标参考之用，本项目采购不属于一次性完成供货，实际供货以采购人每次订单需求为准。采购人不保证饮用水的供货量，投标人应进行综合考虑，并自行承担在中标后可能发生的一切潜在风险。</w:t>
      </w:r>
    </w:p>
    <w:p w14:paraId="2AD9D707">
      <w:pPr>
        <w:pStyle w:val="7"/>
        <w:keepNext w:val="0"/>
        <w:keepLines w:val="0"/>
        <w:pageBreakBefore w:val="0"/>
        <w:kinsoku/>
        <w:wordWrap/>
        <w:overflowPunct/>
        <w:topLinePunct w:val="0"/>
        <w:autoSpaceDE/>
        <w:autoSpaceDN/>
        <w:bidi w:val="0"/>
        <w:spacing w:line="360" w:lineRule="exact"/>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（一）开标一览表</w:t>
      </w:r>
    </w:p>
    <w:p w14:paraId="549B348F">
      <w:pPr>
        <w:pStyle w:val="7"/>
        <w:keepNext w:val="0"/>
        <w:keepLines w:val="0"/>
        <w:pageBreakBefore w:val="0"/>
        <w:kinsoku/>
        <w:wordWrap/>
        <w:overflowPunct/>
        <w:topLinePunct w:val="0"/>
        <w:autoSpaceDE/>
        <w:autoSpaceDN/>
        <w:bidi w:val="0"/>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采购项目名称：广州医科大学附属</w:t>
      </w:r>
      <w:r>
        <w:rPr>
          <w:rFonts w:hint="default" w:ascii="Times New Roman" w:hAnsi="Times New Roman" w:cs="Times New Roman" w:eastAsiaTheme="minorEastAsia"/>
          <w:sz w:val="21"/>
          <w:szCs w:val="21"/>
          <w:lang w:eastAsia="zh-CN"/>
        </w:rPr>
        <w:t>口腔医院</w:t>
      </w:r>
      <w:r>
        <w:rPr>
          <w:rFonts w:hint="default" w:ascii="Times New Roman" w:hAnsi="Times New Roman" w:cs="Times New Roman" w:eastAsiaTheme="minorEastAsia"/>
          <w:sz w:val="21"/>
          <w:szCs w:val="21"/>
        </w:rPr>
        <w:t>饮用水采购项目</w:t>
      </w:r>
    </w:p>
    <w:p w14:paraId="5C0DE929">
      <w:pPr>
        <w:pStyle w:val="7"/>
        <w:keepNext w:val="0"/>
        <w:keepLines w:val="0"/>
        <w:pageBreakBefore w:val="0"/>
        <w:kinsoku/>
        <w:wordWrap/>
        <w:overflowPunct/>
        <w:topLinePunct w:val="0"/>
        <w:autoSpaceDE/>
        <w:autoSpaceDN/>
        <w:bidi w:val="0"/>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采购文件编号：</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81"/>
        <w:gridCol w:w="2406"/>
        <w:gridCol w:w="2073"/>
        <w:gridCol w:w="1846"/>
        <w:gridCol w:w="1301"/>
      </w:tblGrid>
      <w:tr w14:paraId="57A5BA2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7AAC3F3">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240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9B67D66">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采购项目名称</w:t>
            </w:r>
          </w:p>
        </w:tc>
        <w:tc>
          <w:tcPr>
            <w:tcW w:w="2073"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5FF9768">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投标报价（元）</w:t>
            </w:r>
          </w:p>
        </w:tc>
        <w:tc>
          <w:tcPr>
            <w:tcW w:w="184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941DA65">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服务期</w:t>
            </w:r>
          </w:p>
        </w:tc>
        <w:tc>
          <w:tcPr>
            <w:tcW w:w="130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CF22E05">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交货地点</w:t>
            </w:r>
          </w:p>
        </w:tc>
      </w:tr>
      <w:tr w14:paraId="17DC1EB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81"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037037C">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240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565AEFB">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广州医科大学附属</w:t>
            </w:r>
            <w:r>
              <w:rPr>
                <w:rFonts w:hint="default" w:ascii="Times New Roman" w:hAnsi="Times New Roman" w:cs="Times New Roman" w:eastAsiaTheme="minorEastAsia"/>
                <w:sz w:val="21"/>
                <w:szCs w:val="21"/>
                <w:lang w:eastAsia="zh-CN"/>
              </w:rPr>
              <w:t>口腔医院</w:t>
            </w:r>
            <w:r>
              <w:rPr>
                <w:rFonts w:hint="default" w:ascii="Times New Roman" w:hAnsi="Times New Roman" w:cs="Times New Roman" w:eastAsiaTheme="minorEastAsia"/>
                <w:sz w:val="21"/>
                <w:szCs w:val="21"/>
              </w:rPr>
              <w:t>饮用水采购项目</w:t>
            </w:r>
          </w:p>
        </w:tc>
        <w:tc>
          <w:tcPr>
            <w:tcW w:w="2073" w:type="dxa"/>
            <w:tcBorders>
              <w:top w:val="nil"/>
              <w:left w:val="nil"/>
              <w:bottom w:val="single" w:color="000000" w:sz="4" w:space="0"/>
              <w:right w:val="single" w:color="000000" w:sz="4" w:space="0"/>
            </w:tcBorders>
            <w:tcMar>
              <w:top w:w="0" w:type="dxa"/>
              <w:left w:w="105" w:type="dxa"/>
              <w:bottom w:w="0" w:type="dxa"/>
              <w:right w:w="105" w:type="dxa"/>
            </w:tcMar>
            <w:vAlign w:val="top"/>
          </w:tcPr>
          <w:p w14:paraId="06FEDAFC">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i/>
                <w:sz w:val="21"/>
                <w:szCs w:val="21"/>
              </w:rPr>
              <w:t>（即：投标总价金额）</w:t>
            </w:r>
          </w:p>
        </w:tc>
        <w:tc>
          <w:tcPr>
            <w:tcW w:w="184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62D18E3">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三</w:t>
            </w:r>
            <w:r>
              <w:rPr>
                <w:rFonts w:hint="default" w:ascii="Times New Roman" w:hAnsi="Times New Roman" w:cs="Times New Roman" w:eastAsiaTheme="minorEastAsia"/>
                <w:sz w:val="21"/>
                <w:szCs w:val="21"/>
              </w:rPr>
              <w:t>年或累计实际结算款项达到合同总价，以先到者为准。</w:t>
            </w:r>
          </w:p>
        </w:tc>
        <w:tc>
          <w:tcPr>
            <w:tcW w:w="130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FB5173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采购人指定的使用现场。</w:t>
            </w:r>
          </w:p>
        </w:tc>
      </w:tr>
    </w:tbl>
    <w:p w14:paraId="722254EE">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注：</w:t>
      </w:r>
    </w:p>
    <w:p w14:paraId="4BF5D405">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投标供应商应在投标客户端【报价部分】进行填写，投标客户端软件将自动根据供应商填写信息在线生成开标一览表，若在投标文件中出现非系统生成的开标一览表，且与投标客户端生成的开标一览表信息内容不一致，以投标客户端在线填写报价并生成的内容为准。（以上表样仅供参考）</w:t>
      </w:r>
    </w:p>
    <w:p w14:paraId="7AA3C1BF">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2、以上“投标报价（元）”须与分项报价表中的“合计（元）”保持一致。</w:t>
      </w:r>
    </w:p>
    <w:p w14:paraId="5DF936DA">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投标人名称（加盖公章）：</w:t>
      </w:r>
      <w:r>
        <w:rPr>
          <w:rFonts w:hint="default" w:ascii="Times New Roman" w:hAnsi="Times New Roman" w:cs="Times New Roman" w:eastAsiaTheme="minorEastAsia"/>
          <w:sz w:val="21"/>
          <w:szCs w:val="21"/>
          <w:u w:val="single"/>
        </w:rPr>
        <w:t xml:space="preserve">                                   </w:t>
      </w:r>
    </w:p>
    <w:p w14:paraId="10C52818">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投标人法定代表人或授权代表（签字或盖章）：</w:t>
      </w:r>
      <w:r>
        <w:rPr>
          <w:rFonts w:hint="default" w:ascii="Times New Roman" w:hAnsi="Times New Roman" w:cs="Times New Roman" w:eastAsiaTheme="minorEastAsia"/>
          <w:sz w:val="21"/>
          <w:szCs w:val="21"/>
          <w:u w:val="single"/>
        </w:rPr>
        <w:t xml:space="preserve">                 </w:t>
      </w:r>
    </w:p>
    <w:p w14:paraId="122B447A">
      <w:pPr>
        <w:pStyle w:val="7"/>
        <w:keepNext w:val="0"/>
        <w:keepLines w:val="0"/>
        <w:pageBreakBefore w:val="0"/>
        <w:widowControl/>
        <w:kinsoku/>
        <w:wordWrap/>
        <w:overflowPunct/>
        <w:topLinePunct w:val="0"/>
        <w:autoSpaceDE/>
        <w:autoSpaceDN/>
        <w:bidi w:val="0"/>
        <w:adjustRightInd/>
        <w:snapToGrid/>
        <w:spacing w:line="360" w:lineRule="exac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日期：</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年</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月</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日</w:t>
      </w:r>
    </w:p>
    <w:p w14:paraId="113FA8F9">
      <w:pPr>
        <w:pStyle w:val="7"/>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（二）分项报价表</w:t>
      </w:r>
    </w:p>
    <w:p w14:paraId="439E4529">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采购项目名称：广州医科大学附属</w:t>
      </w:r>
      <w:r>
        <w:rPr>
          <w:rFonts w:hint="default" w:ascii="Times New Roman" w:hAnsi="Times New Roman" w:cs="Times New Roman" w:eastAsiaTheme="minorEastAsia"/>
          <w:sz w:val="21"/>
          <w:szCs w:val="21"/>
          <w:lang w:eastAsia="zh-CN"/>
        </w:rPr>
        <w:t>口腔医院</w:t>
      </w:r>
      <w:r>
        <w:rPr>
          <w:rFonts w:hint="default" w:ascii="Times New Roman" w:hAnsi="Times New Roman" w:cs="Times New Roman" w:eastAsiaTheme="minorEastAsia"/>
          <w:sz w:val="21"/>
          <w:szCs w:val="21"/>
        </w:rPr>
        <w:t>饮用水采购项目</w:t>
      </w:r>
    </w:p>
    <w:p w14:paraId="1885B74E">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采购文件编号：</w:t>
      </w:r>
    </w:p>
    <w:p w14:paraId="3A14A35C">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货币及单位：人民币/元</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624"/>
        <w:gridCol w:w="1597"/>
        <w:gridCol w:w="1156"/>
        <w:gridCol w:w="578"/>
        <w:gridCol w:w="532"/>
        <w:gridCol w:w="1141"/>
        <w:gridCol w:w="608"/>
        <w:gridCol w:w="913"/>
        <w:gridCol w:w="1156"/>
      </w:tblGrid>
      <w:tr w14:paraId="192FD1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4"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3D4D1F8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序号</w:t>
            </w:r>
          </w:p>
        </w:tc>
        <w:tc>
          <w:tcPr>
            <w:tcW w:w="159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4EE99438">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货物名称</w:t>
            </w:r>
          </w:p>
        </w:tc>
        <w:tc>
          <w:tcPr>
            <w:tcW w:w="11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9C4014F">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规格型号</w:t>
            </w:r>
          </w:p>
        </w:tc>
        <w:tc>
          <w:tcPr>
            <w:tcW w:w="57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494EEA5">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品牌</w:t>
            </w:r>
          </w:p>
        </w:tc>
        <w:tc>
          <w:tcPr>
            <w:tcW w:w="532"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50A13C5">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产地</w:t>
            </w:r>
          </w:p>
        </w:tc>
        <w:tc>
          <w:tcPr>
            <w:tcW w:w="114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EB3171F">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制造商名称</w:t>
            </w:r>
          </w:p>
        </w:tc>
        <w:tc>
          <w:tcPr>
            <w:tcW w:w="608"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1716C338">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单价</w:t>
            </w:r>
          </w:p>
        </w:tc>
        <w:tc>
          <w:tcPr>
            <w:tcW w:w="913"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587580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数量</w:t>
            </w:r>
          </w:p>
        </w:tc>
        <w:tc>
          <w:tcPr>
            <w:tcW w:w="115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7A1AF81E">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总价</w:t>
            </w:r>
          </w:p>
        </w:tc>
      </w:tr>
      <w:tr w14:paraId="1016EC6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623B6528">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p>
        </w:tc>
        <w:tc>
          <w:tcPr>
            <w:tcW w:w="1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36745C6">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桶装饮用水</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35A05DC">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≥18.9L/桶</w:t>
            </w:r>
          </w:p>
        </w:tc>
        <w:tc>
          <w:tcPr>
            <w:tcW w:w="5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F1F834D">
            <w:pPr>
              <w:pStyle w:val="7"/>
              <w:jc w:val="center"/>
              <w:rPr>
                <w:rFonts w:hint="default" w:ascii="Times New Roman" w:hAnsi="Times New Roman" w:cs="Times New Roman" w:eastAsiaTheme="minorEastAsia"/>
                <w:sz w:val="21"/>
                <w:szCs w:val="21"/>
              </w:rPr>
            </w:pPr>
          </w:p>
        </w:tc>
        <w:tc>
          <w:tcPr>
            <w:tcW w:w="532"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2E14BD">
            <w:pPr>
              <w:rPr>
                <w:rFonts w:hint="default" w:ascii="Times New Roman" w:hAnsi="Times New Roman" w:cs="Times New Roman" w:eastAsiaTheme="minorEastAsia"/>
                <w:sz w:val="21"/>
                <w:szCs w:val="21"/>
              </w:rPr>
            </w:pPr>
          </w:p>
        </w:tc>
        <w:tc>
          <w:tcPr>
            <w:tcW w:w="11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479E487C">
            <w:pPr>
              <w:rPr>
                <w:rFonts w:hint="default" w:ascii="Times New Roman" w:hAnsi="Times New Roman" w:cs="Times New Roman" w:eastAsiaTheme="minorEastAsia"/>
                <w:sz w:val="21"/>
                <w:szCs w:val="21"/>
              </w:rPr>
            </w:pPr>
          </w:p>
        </w:tc>
        <w:tc>
          <w:tcPr>
            <w:tcW w:w="608" w:type="dxa"/>
            <w:tcBorders>
              <w:top w:val="nil"/>
              <w:left w:val="nil"/>
              <w:bottom w:val="single" w:color="000000" w:sz="4" w:space="0"/>
              <w:right w:val="single" w:color="000000" w:sz="4" w:space="0"/>
            </w:tcBorders>
            <w:tcMar>
              <w:top w:w="0" w:type="dxa"/>
              <w:left w:w="105" w:type="dxa"/>
              <w:bottom w:w="0" w:type="dxa"/>
              <w:right w:w="105" w:type="dxa"/>
            </w:tcMar>
            <w:vAlign w:val="top"/>
          </w:tcPr>
          <w:p w14:paraId="28DBF253">
            <w:pPr>
              <w:rPr>
                <w:rFonts w:hint="default" w:ascii="Times New Roman" w:hAnsi="Times New Roman" w:cs="Times New Roman" w:eastAsiaTheme="minorEastAsia"/>
                <w:sz w:val="21"/>
                <w:szCs w:val="21"/>
              </w:rPr>
            </w:pPr>
          </w:p>
        </w:tc>
        <w:tc>
          <w:tcPr>
            <w:tcW w:w="913" w:type="dxa"/>
            <w:tcBorders>
              <w:top w:val="nil"/>
              <w:left w:val="nil"/>
              <w:bottom w:val="single" w:color="000000" w:sz="4" w:space="0"/>
              <w:right w:val="single" w:color="000000" w:sz="4" w:space="0"/>
            </w:tcBorders>
            <w:tcMar>
              <w:top w:w="0" w:type="dxa"/>
              <w:left w:w="105" w:type="dxa"/>
              <w:bottom w:w="0" w:type="dxa"/>
              <w:right w:w="105" w:type="dxa"/>
            </w:tcMar>
            <w:vAlign w:val="top"/>
          </w:tcPr>
          <w:p w14:paraId="0BDEB910">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40000</w:t>
            </w:r>
            <w:r>
              <w:rPr>
                <w:rFonts w:hint="default" w:ascii="Times New Roman" w:hAnsi="Times New Roman" w:cs="Times New Roman" w:eastAsiaTheme="minorEastAsia"/>
                <w:sz w:val="21"/>
                <w:szCs w:val="21"/>
              </w:rPr>
              <w:t>桶</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EC37761">
            <w:pPr>
              <w:pStyle w:val="7"/>
              <w:jc w:val="center"/>
              <w:rPr>
                <w:rFonts w:hint="default" w:ascii="Times New Roman" w:hAnsi="Times New Roman" w:cs="Times New Roman" w:eastAsiaTheme="minorEastAsia"/>
                <w:sz w:val="21"/>
                <w:szCs w:val="21"/>
              </w:rPr>
            </w:pPr>
          </w:p>
        </w:tc>
      </w:tr>
      <w:tr w14:paraId="57F6C29C">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948ABBC">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w:t>
            </w:r>
          </w:p>
        </w:tc>
        <w:tc>
          <w:tcPr>
            <w:tcW w:w="1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357A21BD">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瓶装饮用水</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638334D">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24支（≥365毫升</w:t>
            </w:r>
            <w:r>
              <w:rPr>
                <w:rFonts w:hint="default" w:ascii="Times New Roman" w:hAnsi="Times New Roman" w:cs="Times New Roman" w:eastAsiaTheme="minorEastAsia"/>
                <w:sz w:val="21"/>
                <w:szCs w:val="21"/>
                <w:lang w:val="en-US" w:eastAsia="zh-CN"/>
              </w:rPr>
              <w:t>/支</w:t>
            </w:r>
            <w:r>
              <w:rPr>
                <w:rFonts w:hint="default" w:ascii="Times New Roman" w:hAnsi="Times New Roman" w:cs="Times New Roman" w:eastAsiaTheme="minorEastAsia"/>
                <w:sz w:val="21"/>
                <w:szCs w:val="21"/>
              </w:rPr>
              <w:t>）/箱</w:t>
            </w:r>
          </w:p>
        </w:tc>
        <w:tc>
          <w:tcPr>
            <w:tcW w:w="5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7383D65E">
            <w:pPr>
              <w:pStyle w:val="7"/>
              <w:jc w:val="center"/>
              <w:rPr>
                <w:rFonts w:hint="default" w:ascii="Times New Roman" w:hAnsi="Times New Roman" w:cs="Times New Roman" w:eastAsiaTheme="minorEastAsia"/>
                <w:sz w:val="21"/>
                <w:szCs w:val="21"/>
              </w:rPr>
            </w:pPr>
          </w:p>
        </w:tc>
        <w:tc>
          <w:tcPr>
            <w:tcW w:w="53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FFD049">
            <w:pPr>
              <w:rPr>
                <w:rFonts w:hint="default" w:ascii="Times New Roman" w:hAnsi="Times New Roman" w:cs="Times New Roman" w:eastAsiaTheme="minorEastAsia"/>
                <w:sz w:val="21"/>
                <w:szCs w:val="21"/>
              </w:rPr>
            </w:pPr>
          </w:p>
        </w:tc>
        <w:tc>
          <w:tcPr>
            <w:tcW w:w="11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5686A5E9">
            <w:pPr>
              <w:rPr>
                <w:rFonts w:hint="default" w:ascii="Times New Roman" w:hAnsi="Times New Roman" w:cs="Times New Roman" w:eastAsiaTheme="minorEastAsia"/>
                <w:sz w:val="21"/>
                <w:szCs w:val="21"/>
              </w:rPr>
            </w:pPr>
          </w:p>
        </w:tc>
        <w:tc>
          <w:tcPr>
            <w:tcW w:w="60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7B6C47B">
            <w:pPr>
              <w:rPr>
                <w:rFonts w:hint="default" w:ascii="Times New Roman" w:hAnsi="Times New Roman" w:cs="Times New Roman" w:eastAsiaTheme="minorEastAsia"/>
                <w:sz w:val="21"/>
                <w:szCs w:val="21"/>
              </w:rPr>
            </w:pPr>
          </w:p>
        </w:tc>
        <w:tc>
          <w:tcPr>
            <w:tcW w:w="913" w:type="dxa"/>
            <w:tcBorders>
              <w:top w:val="nil"/>
              <w:left w:val="nil"/>
              <w:bottom w:val="single" w:color="000000" w:sz="4" w:space="0"/>
              <w:right w:val="single" w:color="000000" w:sz="4" w:space="0"/>
            </w:tcBorders>
            <w:tcMar>
              <w:top w:w="0" w:type="dxa"/>
              <w:left w:w="105" w:type="dxa"/>
              <w:bottom w:w="0" w:type="dxa"/>
              <w:right w:w="105" w:type="dxa"/>
            </w:tcMar>
            <w:vAlign w:val="top"/>
          </w:tcPr>
          <w:p w14:paraId="685117FA">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50</w:t>
            </w:r>
            <w:r>
              <w:rPr>
                <w:rFonts w:hint="default" w:ascii="Times New Roman" w:hAnsi="Times New Roman" w:cs="Times New Roman" w:eastAsiaTheme="minorEastAsia"/>
                <w:sz w:val="21"/>
                <w:szCs w:val="21"/>
              </w:rPr>
              <w:t>00箱</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7F5425F1">
            <w:pPr>
              <w:pStyle w:val="7"/>
              <w:jc w:val="center"/>
              <w:rPr>
                <w:rFonts w:hint="default" w:ascii="Times New Roman" w:hAnsi="Times New Roman" w:cs="Times New Roman" w:eastAsiaTheme="minorEastAsia"/>
                <w:sz w:val="21"/>
                <w:szCs w:val="21"/>
              </w:rPr>
            </w:pPr>
          </w:p>
        </w:tc>
      </w:tr>
      <w:tr w14:paraId="6055947F">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624"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EAFA782">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w:t>
            </w:r>
          </w:p>
        </w:tc>
        <w:tc>
          <w:tcPr>
            <w:tcW w:w="159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8E0B72B">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（如有其他，请投标人自行补充）</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580CFACA">
            <w:pPr>
              <w:pStyle w:val="7"/>
              <w:jc w:val="center"/>
              <w:rPr>
                <w:rFonts w:hint="default" w:ascii="Times New Roman" w:hAnsi="Times New Roman" w:cs="Times New Roman" w:eastAsiaTheme="minorEastAsia"/>
                <w:sz w:val="21"/>
                <w:szCs w:val="21"/>
              </w:rPr>
            </w:pPr>
          </w:p>
        </w:tc>
        <w:tc>
          <w:tcPr>
            <w:tcW w:w="578" w:type="dxa"/>
            <w:tcBorders>
              <w:top w:val="nil"/>
              <w:left w:val="nil"/>
              <w:bottom w:val="single" w:color="000000" w:sz="4" w:space="0"/>
              <w:right w:val="single" w:color="000000" w:sz="4" w:space="0"/>
            </w:tcBorders>
            <w:tcMar>
              <w:top w:w="0" w:type="dxa"/>
              <w:left w:w="105" w:type="dxa"/>
              <w:bottom w:w="0" w:type="dxa"/>
              <w:right w:w="105" w:type="dxa"/>
            </w:tcMar>
            <w:vAlign w:val="top"/>
          </w:tcPr>
          <w:p w14:paraId="156E7E22">
            <w:pPr>
              <w:rPr>
                <w:rFonts w:hint="default" w:ascii="Times New Roman" w:hAnsi="Times New Roman" w:cs="Times New Roman" w:eastAsiaTheme="minorEastAsia"/>
                <w:sz w:val="21"/>
                <w:szCs w:val="21"/>
              </w:rPr>
            </w:pPr>
          </w:p>
        </w:tc>
        <w:tc>
          <w:tcPr>
            <w:tcW w:w="532" w:type="dxa"/>
            <w:tcBorders>
              <w:top w:val="nil"/>
              <w:left w:val="nil"/>
              <w:bottom w:val="single" w:color="000000" w:sz="4" w:space="0"/>
              <w:right w:val="single" w:color="000000" w:sz="4" w:space="0"/>
            </w:tcBorders>
            <w:tcMar>
              <w:top w:w="0" w:type="dxa"/>
              <w:left w:w="105" w:type="dxa"/>
              <w:bottom w:w="0" w:type="dxa"/>
              <w:right w:w="105" w:type="dxa"/>
            </w:tcMar>
            <w:vAlign w:val="top"/>
          </w:tcPr>
          <w:p w14:paraId="7A2C7921">
            <w:pPr>
              <w:rPr>
                <w:rFonts w:hint="default" w:ascii="Times New Roman" w:hAnsi="Times New Roman" w:cs="Times New Roman" w:eastAsiaTheme="minorEastAsia"/>
                <w:sz w:val="21"/>
                <w:szCs w:val="21"/>
              </w:rPr>
            </w:pPr>
          </w:p>
        </w:tc>
        <w:tc>
          <w:tcPr>
            <w:tcW w:w="11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11E890A8">
            <w:pPr>
              <w:rPr>
                <w:rFonts w:hint="default" w:ascii="Times New Roman" w:hAnsi="Times New Roman" w:cs="Times New Roman" w:eastAsiaTheme="minorEastAsia"/>
                <w:sz w:val="21"/>
                <w:szCs w:val="21"/>
              </w:rPr>
            </w:pPr>
          </w:p>
        </w:tc>
        <w:tc>
          <w:tcPr>
            <w:tcW w:w="608"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78C5D7">
            <w:pPr>
              <w:rPr>
                <w:rFonts w:hint="default" w:ascii="Times New Roman" w:hAnsi="Times New Roman" w:cs="Times New Roman" w:eastAsiaTheme="minorEastAsia"/>
                <w:sz w:val="21"/>
                <w:szCs w:val="21"/>
              </w:rPr>
            </w:pPr>
          </w:p>
        </w:tc>
        <w:tc>
          <w:tcPr>
            <w:tcW w:w="913" w:type="dxa"/>
            <w:tcBorders>
              <w:top w:val="nil"/>
              <w:left w:val="nil"/>
              <w:bottom w:val="single" w:color="000000" w:sz="4" w:space="0"/>
              <w:right w:val="single" w:color="000000" w:sz="4" w:space="0"/>
            </w:tcBorders>
            <w:tcMar>
              <w:top w:w="0" w:type="dxa"/>
              <w:left w:w="105" w:type="dxa"/>
              <w:bottom w:w="0" w:type="dxa"/>
              <w:right w:w="105" w:type="dxa"/>
            </w:tcMar>
            <w:vAlign w:val="top"/>
          </w:tcPr>
          <w:p w14:paraId="3D6A7875">
            <w:pPr>
              <w:rPr>
                <w:rFonts w:hint="default" w:ascii="Times New Roman" w:hAnsi="Times New Roman" w:cs="Times New Roman" w:eastAsiaTheme="minorEastAsia"/>
                <w:sz w:val="21"/>
                <w:szCs w:val="21"/>
              </w:rPr>
            </w:pP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8E82D1E">
            <w:pPr>
              <w:rPr>
                <w:rFonts w:hint="default" w:ascii="Times New Roman" w:hAnsi="Times New Roman" w:cs="Times New Roman" w:eastAsiaTheme="minorEastAsia"/>
                <w:sz w:val="21"/>
                <w:szCs w:val="21"/>
              </w:rPr>
            </w:pPr>
          </w:p>
        </w:tc>
      </w:tr>
      <w:tr w14:paraId="30399A99">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49" w:type="dxa"/>
            <w:gridSpan w:val="8"/>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F653C02">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合计（元）</w:t>
            </w:r>
          </w:p>
        </w:tc>
        <w:tc>
          <w:tcPr>
            <w:tcW w:w="1156" w:type="dxa"/>
            <w:tcBorders>
              <w:top w:val="nil"/>
              <w:left w:val="nil"/>
              <w:bottom w:val="single" w:color="000000" w:sz="4" w:space="0"/>
              <w:right w:val="single" w:color="000000" w:sz="4" w:space="0"/>
            </w:tcBorders>
            <w:tcMar>
              <w:top w:w="0" w:type="dxa"/>
              <w:left w:w="105" w:type="dxa"/>
              <w:bottom w:w="0" w:type="dxa"/>
              <w:right w:w="105" w:type="dxa"/>
            </w:tcMar>
            <w:vAlign w:val="top"/>
          </w:tcPr>
          <w:p w14:paraId="4DE2AF58">
            <w:pPr>
              <w:pStyle w:val="7"/>
              <w:jc w:val="center"/>
              <w:rPr>
                <w:rFonts w:hint="default" w:ascii="Times New Roman" w:hAnsi="Times New Roman" w:cs="Times New Roman" w:eastAsiaTheme="minorEastAsia"/>
                <w:sz w:val="21"/>
                <w:szCs w:val="21"/>
              </w:rPr>
            </w:pPr>
          </w:p>
        </w:tc>
      </w:tr>
    </w:tbl>
    <w:p w14:paraId="7089C172">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注：</w:t>
      </w:r>
    </w:p>
    <w:p w14:paraId="5B732251">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投标供应商应在投标客户端【报价部分】进行填写，投标客户端软件将自动根据供应商填写信息在线生成分项报价表，若在投标文件中出现非系统生成的分项报价表，且与投标客户端生成的分项报价表信息内容不一致，以投标客户端在线填写报价并生成的内容为准。（以上表样仅供参考）</w:t>
      </w:r>
    </w:p>
    <w:p w14:paraId="7157532B">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2、以上“合计（元）”须与“投标报价（元）”（即：投标总价金额）保持一致。</w:t>
      </w:r>
    </w:p>
    <w:p w14:paraId="3EBE2C2B">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投标人名称（加盖公章）：</w:t>
      </w:r>
      <w:r>
        <w:rPr>
          <w:rFonts w:hint="default" w:ascii="Times New Roman" w:hAnsi="Times New Roman" w:cs="Times New Roman" w:eastAsiaTheme="minorEastAsia"/>
          <w:sz w:val="21"/>
          <w:szCs w:val="21"/>
          <w:u w:val="single"/>
        </w:rPr>
        <w:t xml:space="preserve">                                   </w:t>
      </w:r>
    </w:p>
    <w:p w14:paraId="722662D2">
      <w:pPr>
        <w:pStyle w:val="7"/>
        <w:keepNext w:val="0"/>
        <w:keepLines w:val="0"/>
        <w:pageBreakBefore w:val="0"/>
        <w:widowControl/>
        <w:kinsoku/>
        <w:wordWrap/>
        <w:overflowPunct/>
        <w:topLinePunct w:val="0"/>
        <w:autoSpaceDE/>
        <w:autoSpaceDN/>
        <w:bidi w:val="0"/>
        <w:adjustRightInd/>
        <w:snapToGrid/>
        <w:spacing w:line="360" w:lineRule="exact"/>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投标人法定代表人或授权代表（签字或盖章）：</w:t>
      </w:r>
      <w:r>
        <w:rPr>
          <w:rFonts w:hint="default" w:ascii="Times New Roman" w:hAnsi="Times New Roman" w:cs="Times New Roman" w:eastAsiaTheme="minorEastAsia"/>
          <w:sz w:val="21"/>
          <w:szCs w:val="21"/>
          <w:u w:val="single"/>
        </w:rPr>
        <w:t xml:space="preserve">                 </w:t>
      </w:r>
    </w:p>
    <w:p w14:paraId="555EF977">
      <w:pPr>
        <w:pStyle w:val="7"/>
        <w:keepNext w:val="0"/>
        <w:keepLines w:val="0"/>
        <w:pageBreakBefore w:val="0"/>
        <w:widowControl/>
        <w:kinsoku/>
        <w:wordWrap/>
        <w:overflowPunct/>
        <w:topLinePunct w:val="0"/>
        <w:autoSpaceDE/>
        <w:autoSpaceDN/>
        <w:bidi w:val="0"/>
        <w:adjustRightInd/>
        <w:snapToGrid/>
        <w:spacing w:line="360" w:lineRule="exact"/>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t>日期：</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年</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月</w:t>
      </w:r>
      <w:r>
        <w:rPr>
          <w:rFonts w:hint="default" w:ascii="Times New Roman" w:hAnsi="Times New Roman" w:cs="Times New Roman" w:eastAsiaTheme="minorEastAsia"/>
          <w:sz w:val="21"/>
          <w:szCs w:val="21"/>
          <w:u w:val="single"/>
        </w:rPr>
        <w:t xml:space="preserve">    </w:t>
      </w:r>
      <w:r>
        <w:rPr>
          <w:rFonts w:hint="default" w:ascii="Times New Roman" w:hAnsi="Times New Roman" w:cs="Times New Roman" w:eastAsiaTheme="minorEastAsia"/>
          <w:sz w:val="21"/>
          <w:szCs w:val="21"/>
        </w:rPr>
        <w:t>日</w:t>
      </w:r>
    </w:p>
    <w:p w14:paraId="0A19382C">
      <w:pPr>
        <w:pStyle w:val="7"/>
        <w:keepNext w:val="0"/>
        <w:keepLines w:val="0"/>
        <w:pageBreakBefore w:val="0"/>
        <w:widowControl/>
        <w:kinsoku/>
        <w:wordWrap/>
        <w:overflowPunct/>
        <w:topLinePunct w:val="0"/>
        <w:autoSpaceDE/>
        <w:autoSpaceDN/>
        <w:bidi w:val="0"/>
        <w:adjustRightInd/>
        <w:snapToGrid/>
        <w:spacing w:line="360" w:lineRule="exact"/>
        <w:ind w:firstLine="422"/>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bCs/>
          <w:sz w:val="21"/>
          <w:szCs w:val="21"/>
          <w:lang w:eastAsia="zh-CN"/>
        </w:rPr>
        <w:t>（六）</w:t>
      </w:r>
      <w:r>
        <w:rPr>
          <w:rFonts w:hint="default" w:ascii="Times New Roman" w:hAnsi="Times New Roman" w:cs="Times New Roman" w:eastAsiaTheme="minorEastAsia"/>
          <w:b/>
          <w:bCs/>
          <w:sz w:val="21"/>
          <w:szCs w:val="21"/>
        </w:rPr>
        <w:t>结算方式</w:t>
      </w:r>
    </w:p>
    <w:p w14:paraId="1AEA3DC7">
      <w:pPr>
        <w:pStyle w:val="7"/>
        <w:keepNext w:val="0"/>
        <w:keepLines w:val="0"/>
        <w:pageBreakBefore w:val="0"/>
        <w:widowControl/>
        <w:kinsoku/>
        <w:wordWrap/>
        <w:overflowPunct/>
        <w:topLinePunct w:val="0"/>
        <w:autoSpaceDE/>
        <w:autoSpaceDN/>
        <w:bidi w:val="0"/>
        <w:adjustRightInd/>
        <w:snapToGrid/>
        <w:spacing w:line="360" w:lineRule="exact"/>
        <w:ind w:firstLine="46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1、按</w:t>
      </w:r>
      <w:r>
        <w:rPr>
          <w:rFonts w:hint="default" w:ascii="Times New Roman" w:hAnsi="Times New Roman" w:cs="Times New Roman" w:eastAsiaTheme="minorEastAsia"/>
          <w:sz w:val="21"/>
          <w:szCs w:val="21"/>
          <w:lang w:eastAsia="zh-CN"/>
        </w:rPr>
        <w:t>每</w:t>
      </w:r>
      <w:r>
        <w:rPr>
          <w:rFonts w:hint="default" w:ascii="Times New Roman" w:hAnsi="Times New Roman" w:cs="Times New Roman" w:eastAsiaTheme="minorEastAsia"/>
          <w:sz w:val="21"/>
          <w:szCs w:val="21"/>
        </w:rPr>
        <w:t>月为一个结算周期支付货款，货款以银行转账方式进行支付。</w:t>
      </w:r>
    </w:p>
    <w:p w14:paraId="5666D8CF">
      <w:pPr>
        <w:pStyle w:val="7"/>
        <w:keepNext w:val="0"/>
        <w:keepLines w:val="0"/>
        <w:pageBreakBefore w:val="0"/>
        <w:widowControl/>
        <w:kinsoku/>
        <w:wordWrap/>
        <w:overflowPunct/>
        <w:topLinePunct w:val="0"/>
        <w:autoSpaceDE/>
        <w:autoSpaceDN/>
        <w:bidi w:val="0"/>
        <w:adjustRightInd/>
        <w:snapToGrid/>
        <w:spacing w:line="360" w:lineRule="exact"/>
        <w:ind w:firstLine="46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2、合同生效后，根据《广东省财政厅关于进一步优化政府采购领域营商环境的实施意见》，采购人</w:t>
      </w:r>
      <w:r>
        <w:rPr>
          <w:rFonts w:hint="default" w:ascii="Times New Roman" w:hAnsi="Times New Roman" w:cs="Times New Roman" w:eastAsiaTheme="minorEastAsia"/>
          <w:sz w:val="21"/>
          <w:szCs w:val="21"/>
          <w:lang w:eastAsia="zh-CN"/>
        </w:rPr>
        <w:t>每月</w:t>
      </w:r>
      <w:r>
        <w:rPr>
          <w:rFonts w:hint="default" w:ascii="Times New Roman" w:hAnsi="Times New Roman" w:cs="Times New Roman" w:eastAsiaTheme="minorEastAsia"/>
          <w:sz w:val="21"/>
          <w:szCs w:val="21"/>
        </w:rPr>
        <w:t>向中标人</w:t>
      </w:r>
      <w:r>
        <w:rPr>
          <w:rFonts w:hint="default" w:ascii="Times New Roman" w:hAnsi="Times New Roman" w:cs="Times New Roman" w:eastAsiaTheme="minorEastAsia"/>
          <w:sz w:val="21"/>
          <w:szCs w:val="21"/>
          <w:lang w:eastAsia="zh-CN"/>
        </w:rPr>
        <w:t>采购</w:t>
      </w:r>
      <w:r>
        <w:rPr>
          <w:rFonts w:hint="default" w:ascii="Times New Roman" w:hAnsi="Times New Roman" w:cs="Times New Roman" w:eastAsiaTheme="minorEastAsia"/>
          <w:sz w:val="21"/>
          <w:szCs w:val="21"/>
        </w:rPr>
        <w:t>纸质水票，中标人</w:t>
      </w:r>
      <w:r>
        <w:rPr>
          <w:rFonts w:hint="default" w:ascii="Times New Roman" w:hAnsi="Times New Roman" w:cs="Times New Roman" w:eastAsiaTheme="minorEastAsia"/>
          <w:sz w:val="21"/>
          <w:szCs w:val="21"/>
          <w:lang w:eastAsia="zh-CN"/>
        </w:rPr>
        <w:t>向</w:t>
      </w:r>
      <w:r>
        <w:rPr>
          <w:rFonts w:hint="default" w:ascii="Times New Roman" w:hAnsi="Times New Roman" w:cs="Times New Roman" w:eastAsiaTheme="minorEastAsia"/>
          <w:sz w:val="21"/>
          <w:szCs w:val="21"/>
        </w:rPr>
        <w:t>采购人提供等额纸质水票</w:t>
      </w:r>
      <w:r>
        <w:rPr>
          <w:rFonts w:hint="default" w:ascii="Times New Roman" w:hAnsi="Times New Roman" w:cs="Times New Roman" w:eastAsiaTheme="minorEastAsia"/>
          <w:sz w:val="21"/>
          <w:szCs w:val="21"/>
          <w:lang w:eastAsia="zh-CN"/>
        </w:rPr>
        <w:t>同时开具发票，采购人按照水票金额支付货款。</w:t>
      </w:r>
      <w:r>
        <w:rPr>
          <w:rFonts w:hint="default" w:ascii="Times New Roman" w:hAnsi="Times New Roman" w:cs="Times New Roman" w:eastAsiaTheme="minorEastAsia"/>
          <w:sz w:val="21"/>
          <w:szCs w:val="21"/>
        </w:rPr>
        <w:t>合同履行过程中，中标人应根据采购人的实际需要及时提供对应的饮用水品种及数量。</w:t>
      </w:r>
    </w:p>
    <w:p w14:paraId="38CEBDD5">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rPr>
        <w:t>、每次结算货款，中标人需凭以下资料与采购人结算：</w:t>
      </w:r>
    </w:p>
    <w:p w14:paraId="3D91019C">
      <w:pPr>
        <w:pStyle w:val="7"/>
        <w:keepNext w:val="0"/>
        <w:keepLines w:val="0"/>
        <w:pageBreakBefore w:val="0"/>
        <w:widowControl/>
        <w:kinsoku/>
        <w:wordWrap/>
        <w:overflowPunct/>
        <w:topLinePunct w:val="0"/>
        <w:autoSpaceDE/>
        <w:autoSpaceDN/>
        <w:bidi w:val="0"/>
        <w:adjustRightInd/>
        <w:snapToGrid/>
        <w:spacing w:line="360" w:lineRule="exact"/>
        <w:ind w:firstLine="420"/>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①</w:t>
      </w:r>
      <w:r>
        <w:rPr>
          <w:rFonts w:hint="default" w:ascii="Times New Roman" w:hAnsi="Times New Roman" w:cs="Times New Roman" w:eastAsiaTheme="minorEastAsia"/>
          <w:sz w:val="21"/>
          <w:szCs w:val="21"/>
          <w:lang w:eastAsia="zh-CN"/>
        </w:rPr>
        <w:t>提供给采购人的与</w:t>
      </w:r>
      <w:r>
        <w:rPr>
          <w:rFonts w:hint="default" w:ascii="Times New Roman" w:hAnsi="Times New Roman" w:cs="Times New Roman" w:eastAsiaTheme="minorEastAsia"/>
          <w:sz w:val="21"/>
          <w:szCs w:val="21"/>
        </w:rPr>
        <w:t>纸质水票等额</w:t>
      </w:r>
      <w:r>
        <w:rPr>
          <w:rFonts w:hint="default" w:ascii="Times New Roman" w:hAnsi="Times New Roman" w:cs="Times New Roman" w:eastAsiaTheme="minorEastAsia"/>
          <w:sz w:val="21"/>
          <w:szCs w:val="21"/>
          <w:lang w:eastAsia="zh-CN"/>
        </w:rPr>
        <w:t>的发票；</w:t>
      </w:r>
    </w:p>
    <w:p w14:paraId="7A56E224">
      <w:pPr>
        <w:pStyle w:val="7"/>
        <w:keepNext w:val="0"/>
        <w:keepLines w:val="0"/>
        <w:pageBreakBefore w:val="0"/>
        <w:widowControl/>
        <w:kinsoku/>
        <w:wordWrap/>
        <w:overflowPunct/>
        <w:topLinePunct w:val="0"/>
        <w:autoSpaceDE/>
        <w:autoSpaceDN/>
        <w:bidi w:val="0"/>
        <w:adjustRightInd/>
        <w:snapToGrid/>
        <w:spacing w:line="360" w:lineRule="exact"/>
        <w:ind w:firstLine="42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②中标人开具的正式发票，加盖采购人</w:t>
      </w:r>
      <w:r>
        <w:rPr>
          <w:rFonts w:hint="default" w:ascii="Times New Roman" w:hAnsi="Times New Roman" w:cs="Times New Roman" w:eastAsiaTheme="minorEastAsia"/>
          <w:sz w:val="21"/>
          <w:szCs w:val="21"/>
          <w:lang w:eastAsia="zh-CN"/>
        </w:rPr>
        <w:t>后勤设备保障科</w:t>
      </w:r>
      <w:r>
        <w:rPr>
          <w:rFonts w:hint="default" w:ascii="Times New Roman" w:hAnsi="Times New Roman" w:cs="Times New Roman" w:eastAsiaTheme="minorEastAsia"/>
          <w:sz w:val="21"/>
          <w:szCs w:val="21"/>
        </w:rPr>
        <w:t>公章的饮水机清洗记录、每季度根据采购人要求由具有CMA或CNAS标识的国家检测部门或第三方检验机构出具对饮用水（桶装水）检验结论为合格的检验报告；</w:t>
      </w:r>
    </w:p>
    <w:p w14:paraId="4C60A3A3">
      <w:pPr>
        <w:pStyle w:val="7"/>
        <w:keepNext w:val="0"/>
        <w:keepLines w:val="0"/>
        <w:pageBreakBefore w:val="0"/>
        <w:widowControl/>
        <w:kinsoku/>
        <w:wordWrap/>
        <w:overflowPunct/>
        <w:topLinePunct w:val="0"/>
        <w:autoSpaceDE/>
        <w:autoSpaceDN/>
        <w:bidi w:val="0"/>
        <w:adjustRightInd/>
        <w:snapToGrid/>
        <w:spacing w:line="360" w:lineRule="exact"/>
        <w:ind w:firstLine="420"/>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③经采购人确认的月度考核评分结果。</w:t>
      </w:r>
    </w:p>
    <w:p w14:paraId="5B6FE870">
      <w:pPr>
        <w:pStyle w:val="7"/>
        <w:keepNext w:val="0"/>
        <w:keepLines w:val="0"/>
        <w:pageBreakBefore w:val="0"/>
        <w:widowControl/>
        <w:kinsoku/>
        <w:wordWrap/>
        <w:overflowPunct/>
        <w:topLinePunct w:val="0"/>
        <w:autoSpaceDE/>
        <w:autoSpaceDN/>
        <w:bidi w:val="0"/>
        <w:adjustRightInd/>
        <w:snapToGrid/>
        <w:spacing w:line="360" w:lineRule="exact"/>
        <w:ind w:firstLine="422"/>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rPr>
        <w:t>（</w:t>
      </w:r>
      <w:r>
        <w:rPr>
          <w:rFonts w:hint="default" w:ascii="Times New Roman" w:hAnsi="Times New Roman" w:cs="Times New Roman" w:eastAsiaTheme="minorEastAsia"/>
          <w:b/>
          <w:sz w:val="21"/>
          <w:szCs w:val="21"/>
          <w:lang w:eastAsia="zh-CN"/>
        </w:rPr>
        <w:t>七</w:t>
      </w:r>
      <w:r>
        <w:rPr>
          <w:rFonts w:hint="default" w:ascii="Times New Roman" w:hAnsi="Times New Roman" w:cs="Times New Roman" w:eastAsiaTheme="minorEastAsia"/>
          <w:b/>
          <w:sz w:val="21"/>
          <w:szCs w:val="21"/>
        </w:rPr>
        <w:t>）履约保证金</w:t>
      </w:r>
    </w:p>
    <w:p w14:paraId="4285D33C">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中标人与采购人签订合同后15个工作日内，按合同总金额的5%以银行转账或支票（汇票、本票）或保函（保险）等非现金形式向采购人提交履约保证金【保函（保险）方式提交的，须提供保函（保险）原件交予采购人备案】，同时须在合同期内保持履约保证金长期有效。若不提交履约保证金或履约保证金在服务期内失效后15个工作日内不向采购人更新提交，采购人有权终止合同，并上报政府采购监管部门，由此产生的一切责任及损失均由中标人承担。若合同期内中标人没有违约行为，采购人无息退还履约保证金（以保函（保险）形式提交的履约保证金在合同期满后或合同终止后30个工作日内自动失效；以银行转账或支票（汇票）提交的履约保证金在合同期满后或合同终止后30个工作日内，采购人收到中标人的退还申请后，无息退还给中标人）；如逾期退还，采购人按每日逾期款总额的3‰向中标人偿付违约金。下列任何一种情况发生时，采购人有权不予退还履约保证金：1.中标人未完全履行项目投标文件承诺或合同约定的；2.中标人的原因导致采购人单位发生食源性疾病的。</w:t>
      </w:r>
    </w:p>
    <w:p w14:paraId="6635D7C3">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b/>
          <w:bCs/>
          <w:sz w:val="21"/>
          <w:szCs w:val="21"/>
          <w:lang w:eastAsia="zh-CN"/>
        </w:rPr>
      </w:pPr>
      <w:r>
        <w:rPr>
          <w:rFonts w:hint="default" w:ascii="Times New Roman" w:hAnsi="Times New Roman" w:cs="Times New Roman" w:eastAsiaTheme="minorEastAsia"/>
          <w:b/>
          <w:bCs/>
          <w:sz w:val="21"/>
          <w:szCs w:val="21"/>
          <w:lang w:eastAsia="zh-CN"/>
        </w:rPr>
        <w:t>二、服务要求</w:t>
      </w:r>
    </w:p>
    <w:p w14:paraId="0F856134">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投标人须承诺：分批送货，采购人实行零库存，中标人负责货物的仓储，按采购人要求配送。中标人在接到采购人科室的订单需求时，须在3小时内把水送到各科室。在采购人紧急用水的情况下，中标人需配合采购人工作，保证1个小时内将水送到采购人指定地点（需提供书面承诺）。</w:t>
      </w:r>
    </w:p>
    <w:p w14:paraId="20A0FB52">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中标人需自行解决货物的存放问题，采购人不提供存水点供中标人存放。中标人经营或储存饮用水的场所须避开化工类或带有放射性物质的不安全环境；避开公共厕所或公共垃圾场等容易造成细菌滋生与传播等不符合《中华人民共和国食品安全法》经营许可的环境场所。</w:t>
      </w:r>
    </w:p>
    <w:p w14:paraId="54F52D70">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★3、中标人须提供约</w:t>
      </w:r>
      <w:r>
        <w:rPr>
          <w:rFonts w:hint="default" w:ascii="Times New Roman" w:hAnsi="Times New Roman" w:cs="Times New Roman" w:eastAsiaTheme="minorEastAsia"/>
          <w:color w:val="FF0000"/>
          <w:sz w:val="21"/>
          <w:szCs w:val="21"/>
        </w:rPr>
        <w:t>500</w:t>
      </w:r>
      <w:r>
        <w:rPr>
          <w:rFonts w:hint="default" w:ascii="Times New Roman" w:hAnsi="Times New Roman" w:cs="Times New Roman" w:eastAsiaTheme="minorEastAsia"/>
          <w:sz w:val="21"/>
          <w:szCs w:val="21"/>
        </w:rPr>
        <w:t>个空桶（规格为≥18.9L/桶）给采购人作周转使用；合同期内如采购人用水量增加，中标人需同步增加空桶的数量，中标人负责空桶的数量登记和管理，合同期满后一个月内负责全部回收，由此产生的一切费用包含在投标报价中。（提供书面承诺）</w:t>
      </w:r>
    </w:p>
    <w:p w14:paraId="5FAB3E50">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4、中标人所供水桶须为全新且采用PC原料制作而成的，且符合国家及卫生相关标准，桶表面保持洁净无垢，商标清晰、规范，饮用水有外包装袋。</w:t>
      </w:r>
    </w:p>
    <w:p w14:paraId="501C68AD">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★5、采购人五院区共</w:t>
      </w:r>
      <w:r>
        <w:rPr>
          <w:rFonts w:hint="default" w:ascii="Times New Roman" w:hAnsi="Times New Roman" w:cs="Times New Roman" w:eastAsiaTheme="minorEastAsia"/>
          <w:sz w:val="21"/>
          <w:szCs w:val="21"/>
          <w:lang w:eastAsia="zh-CN"/>
        </w:rPr>
        <w:t>需要</w:t>
      </w:r>
      <w:r>
        <w:rPr>
          <w:rFonts w:hint="default" w:ascii="Times New Roman" w:hAnsi="Times New Roman" w:cs="Times New Roman" w:eastAsiaTheme="minorEastAsia"/>
          <w:sz w:val="21"/>
          <w:szCs w:val="21"/>
        </w:rPr>
        <w:t>约</w:t>
      </w:r>
      <w:r>
        <w:rPr>
          <w:rFonts w:hint="default" w:ascii="Times New Roman" w:hAnsi="Times New Roman" w:cs="Times New Roman" w:eastAsiaTheme="minorEastAsia"/>
          <w:color w:val="FF0000"/>
          <w:sz w:val="21"/>
          <w:szCs w:val="21"/>
          <w:lang w:val="en-US" w:eastAsia="zh-CN"/>
        </w:rPr>
        <w:t>1</w:t>
      </w:r>
      <w:r>
        <w:rPr>
          <w:rFonts w:hint="default" w:ascii="Times New Roman" w:hAnsi="Times New Roman" w:cs="Times New Roman" w:eastAsiaTheme="minorEastAsia"/>
          <w:color w:val="FF0000"/>
          <w:sz w:val="21"/>
          <w:szCs w:val="21"/>
        </w:rPr>
        <w:t>00</w:t>
      </w:r>
      <w:r>
        <w:rPr>
          <w:rFonts w:hint="default" w:ascii="Times New Roman" w:hAnsi="Times New Roman" w:cs="Times New Roman" w:eastAsiaTheme="minorEastAsia"/>
          <w:sz w:val="21"/>
          <w:szCs w:val="21"/>
        </w:rPr>
        <w:t>台饮水机，合同期间，如采购人用水量增加或使用需要，中标人须为采购人提供符合国家质量要求的、未使用过的全新饮水机（饮水机具有：①合格证明；②具有加热功能；③主要为柜式（双门），部分台式，款式详见示例图）；中标人为采购人提供使用的饮水机，须将合格证明及投入使用情况交采购人进行存档。中标人须为采购人提供饮水机清洗与消毒服务、日常检查服务，包括但不限于采购人现有数量的饮水机，频率为三个月一次，需使用合格消毒液等消毒清洗用品及臭氧消毒饮水机。上述费用包含在投标报价中。（提供书面承诺）</w:t>
      </w:r>
    </w:p>
    <w:p w14:paraId="5E8E0EF6">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中标人需在投标文件中提供饮水机的清洗消毒流程和所使用的清洁消毒产品的清单（所使用的产品须符合国家或行业标准，清单需列明产品的品牌、规格、产地和生产产家）。中标人每三个月一次进行饮水机清洁和消毒服务后，形成纸质报告并加盖中标人公章，交采购人存档。</w:t>
      </w:r>
    </w:p>
    <w:p w14:paraId="30633C13">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中标人须为本项目成立固定的配送团队、饮水机清洗消毒团队，所有服务人员必须持有健康证（服务人员身份证复印件、健康证复印件均需在进场前交采购人备案、存档）；配备一名项目负责人与采购人协商处理项目事宜。</w:t>
      </w:r>
    </w:p>
    <w:p w14:paraId="7E54F05D">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8</w:t>
      </w:r>
      <w:r>
        <w:rPr>
          <w:rFonts w:hint="default" w:ascii="Times New Roman" w:hAnsi="Times New Roman" w:cs="Times New Roman" w:eastAsiaTheme="minorEastAsia"/>
          <w:sz w:val="21"/>
          <w:szCs w:val="21"/>
        </w:rPr>
        <w:t>、中标人应做好项目服务人员的培训、教育工作，遵守采购人各项规定，统一着装，并佩戴盖有中标人公章的胸卡。配送期间不得做出损害采购人单位形象和利益的行为。如遇突发公共卫生事件，中标人须遵守采购人的相关防控措施及管理。</w:t>
      </w:r>
    </w:p>
    <w:p w14:paraId="4D40D582">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9</w:t>
      </w:r>
      <w:r>
        <w:rPr>
          <w:rFonts w:hint="default" w:ascii="Times New Roman" w:hAnsi="Times New Roman" w:cs="Times New Roman" w:eastAsiaTheme="minorEastAsia"/>
          <w:sz w:val="21"/>
          <w:szCs w:val="21"/>
        </w:rPr>
        <w:t>、中标人必须做好配送计划，保证采购人各院区每个科室及病区的正常饮水；配合采购人的工作安排，合理调配送货时间，保证不影响采购人业务工作的正常运行。</w:t>
      </w:r>
    </w:p>
    <w:p w14:paraId="51A87141">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w:t>
      </w:r>
      <w:r>
        <w:rPr>
          <w:rFonts w:hint="default" w:ascii="Times New Roman" w:hAnsi="Times New Roman" w:cs="Times New Roman" w:eastAsiaTheme="minorEastAsia"/>
          <w:sz w:val="21"/>
          <w:szCs w:val="21"/>
          <w:lang w:val="en-US" w:eastAsia="zh-CN"/>
        </w:rPr>
        <w:t>10</w:t>
      </w:r>
      <w:r>
        <w:rPr>
          <w:rFonts w:hint="default" w:ascii="Times New Roman" w:hAnsi="Times New Roman" w:cs="Times New Roman" w:eastAsiaTheme="minorEastAsia"/>
          <w:sz w:val="21"/>
          <w:szCs w:val="21"/>
        </w:rPr>
        <w:t>、若在合同履行过程中，因国家有关政策变动或不可抗力或合同约定的正常结束等原因导致合同终止的，该情况不属于违约。如采购人仍有已进行结算货款的饮用水水票剩余，中标人应根据饮用水水票种类所剩余的情况向采购人退还相应货款【退还货款=∑（对应品种饮用水的中标单价*对应品种饮用水水票的实际剩余数量）】。（提供承诺函）</w:t>
      </w:r>
    </w:p>
    <w:p w14:paraId="492C8768">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val="en-US" w:eastAsia="zh-CN"/>
        </w:rPr>
        <w:t>11</w:t>
      </w:r>
      <w:r>
        <w:rPr>
          <w:rFonts w:hint="default" w:ascii="Times New Roman" w:hAnsi="Times New Roman" w:cs="Times New Roman" w:eastAsiaTheme="minorEastAsia"/>
          <w:sz w:val="21"/>
          <w:szCs w:val="21"/>
        </w:rPr>
        <w:t>、应急服务</w:t>
      </w:r>
    </w:p>
    <w:p w14:paraId="0F7AD58F">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突发事件应急响应机制：含紧急用水供应、断水、供水协调保障措施、恶劣天气、交通管制、人员管控、饮水机故障和突发公共卫生事件等处理各类突发事件。对项目实施期间可能出现突发的、不可预见的情况，投标人应成立专门的项目应急小组。在接到采购人通知或发现突发情况10分钟内响应，并派主管或以上级别人员与采购人对接。</w:t>
      </w:r>
    </w:p>
    <w:p w14:paraId="49E61E6F">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（2）投标人应制定应急预案，内容包括但不限于紧急用水供应、断水、供水协调保障措施、恶劣天气、交通管制、人员管控、饮水机故障和突发公共卫生事件等需要临时增加供水，做好采购人饮用水保障工作。</w:t>
      </w:r>
    </w:p>
    <w:p w14:paraId="72118A76">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（3）预案需包括应急人员组织架构、人员职责、各种紧急情况的响应时间、联系方式、各种紧急情况的详细处理流程及紧急情况的预防措施。</w:t>
      </w:r>
    </w:p>
    <w:p w14:paraId="52023F5F">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2</w:t>
      </w:r>
      <w:r>
        <w:rPr>
          <w:rFonts w:hint="default" w:ascii="Times New Roman" w:hAnsi="Times New Roman" w:cs="Times New Roman" w:eastAsiaTheme="minorEastAsia"/>
          <w:sz w:val="21"/>
          <w:szCs w:val="21"/>
        </w:rPr>
        <w:t>、人员培训要求</w:t>
      </w:r>
    </w:p>
    <w:p w14:paraId="66D8CD4B">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中标人应保持服务人员队伍的稳定，服务人员工作熟练，中标人内部设有培训机制。培训（含入职前、入职后、岗前三级培训）内容包括：岗前培训、突发状况应急处理培训、服务质量培训、职业道德、服务规范、服务态度、岗位操作流程和规范，以及保密工作培训等，所有服务人员均经培训后方可上岗，培训合格率达100%。中标人每月至少一次对服务人员（尤其是负责送水及售后的岗位员工）进行岗位服务要求和岗位技能的培训并定期进行考核。</w:t>
      </w:r>
    </w:p>
    <w:p w14:paraId="07F4DC10">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w:t>
      </w:r>
      <w:r>
        <w:rPr>
          <w:rFonts w:hint="default" w:ascii="Times New Roman" w:hAnsi="Times New Roman" w:cs="Times New Roman" w:eastAsiaTheme="minorEastAsia"/>
          <w:sz w:val="21"/>
          <w:szCs w:val="21"/>
          <w:lang w:val="en-US" w:eastAsia="zh-CN"/>
        </w:rPr>
        <w:t>3</w:t>
      </w:r>
      <w:r>
        <w:rPr>
          <w:rFonts w:hint="default" w:ascii="Times New Roman" w:hAnsi="Times New Roman" w:cs="Times New Roman" w:eastAsiaTheme="minorEastAsia"/>
          <w:sz w:val="21"/>
          <w:szCs w:val="21"/>
        </w:rPr>
        <w:t>、投标人为所投产品的经销商或代理商的，若中标，须在中标公告发出后5个工作日内向采购人提供所经营的证照（如仅销售预包装食品备案证明或食品经营许可证或食品药品经营许可证或其他等同等食品经营许可含义的证明文件复印件，如国家或地方另有规定的，则适用其规定并由供应商出具相关说明材料）复印件加盖公章，并交一份给采购人存档备案；如不能提供或提供不全或逾期提供的，视为中标人违约，采购人将上报政府采购监管部门。（投标人提供承诺函，格式自定）</w:t>
      </w:r>
    </w:p>
    <w:p w14:paraId="19C2B82F">
      <w:pPr>
        <w:pStyle w:val="7"/>
        <w:keepNext w:val="0"/>
        <w:keepLines w:val="0"/>
        <w:pageBreakBefore w:val="0"/>
        <w:widowControl/>
        <w:kinsoku/>
        <w:wordWrap/>
        <w:overflowPunct/>
        <w:topLinePunct w:val="0"/>
        <w:autoSpaceDE/>
        <w:autoSpaceDN/>
        <w:bidi w:val="0"/>
        <w:adjustRightInd/>
        <w:snapToGrid/>
        <w:spacing w:line="360" w:lineRule="exact"/>
        <w:ind w:firstLine="422"/>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lang w:eastAsia="zh-CN"/>
        </w:rPr>
        <w:t>三、</w:t>
      </w:r>
      <w:r>
        <w:rPr>
          <w:rFonts w:hint="default" w:ascii="Times New Roman" w:hAnsi="Times New Roman" w:cs="Times New Roman" w:eastAsiaTheme="minorEastAsia"/>
          <w:b/>
          <w:sz w:val="21"/>
          <w:szCs w:val="21"/>
        </w:rPr>
        <w:t>质量及包装要求</w:t>
      </w:r>
    </w:p>
    <w:p w14:paraId="520D6A53">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1、投标人应充分理解并认真遵循本招标文件的要求，所提供的货物须满足招标文件要求。保证合同货品均为正规的制造商生产的全新、合格、无侵权货品，符合国家有关质量、包装和保修标准。</w:t>
      </w:r>
    </w:p>
    <w:p w14:paraId="2FAA238C">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★2、投标人所提供的饮用水必须符合以下要求：</w:t>
      </w:r>
    </w:p>
    <w:p w14:paraId="1D31E669">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（1）饮用水须符合国家标准：《食品安全国家标准包装饮用水》(GB 19298-2014)或《食品安全国家标准饮用天然矿泉水》（GB 8537-2018）标准。</w:t>
      </w:r>
      <w:r>
        <w:rPr>
          <w:rFonts w:hint="default" w:ascii="Times New Roman" w:hAnsi="Times New Roman" w:cs="Times New Roman" w:eastAsiaTheme="minorEastAsia"/>
          <w:b/>
          <w:sz w:val="21"/>
          <w:szCs w:val="21"/>
        </w:rPr>
        <w:t>【注：投标时须提供饮用水包装标签的配料表（或配料）、同时标明包装标签里所执行标准所在之处，并加盖投标人公章】</w:t>
      </w:r>
    </w:p>
    <w:p w14:paraId="504A57A1">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color w:val="auto"/>
          <w:sz w:val="21"/>
          <w:szCs w:val="21"/>
        </w:rPr>
      </w:pPr>
      <w:r>
        <w:rPr>
          <w:rFonts w:hint="default" w:ascii="Times New Roman" w:hAnsi="Times New Roman" w:cs="Times New Roman" w:eastAsiaTheme="minorEastAsia"/>
          <w:sz w:val="21"/>
          <w:szCs w:val="21"/>
        </w:rPr>
        <w:t>（2）</w:t>
      </w:r>
      <w:r>
        <w:rPr>
          <w:rFonts w:hint="default" w:ascii="Times New Roman" w:hAnsi="Times New Roman" w:cs="Times New Roman" w:eastAsiaTheme="minorEastAsia"/>
          <w:color w:val="auto"/>
          <w:sz w:val="21"/>
          <w:szCs w:val="21"/>
        </w:rPr>
        <w:t>投标人所提供的桶装水和支装水须为</w:t>
      </w:r>
      <w:r>
        <w:rPr>
          <w:rFonts w:hint="default" w:ascii="Times New Roman" w:hAnsi="Times New Roman" w:cs="Times New Roman" w:eastAsiaTheme="minorEastAsia"/>
          <w:color w:val="auto"/>
          <w:sz w:val="21"/>
          <w:szCs w:val="21"/>
          <w:lang w:eastAsia="zh-CN"/>
        </w:rPr>
        <w:t>中标</w:t>
      </w:r>
      <w:r>
        <w:rPr>
          <w:rFonts w:hint="default" w:ascii="Times New Roman" w:hAnsi="Times New Roman" w:cs="Times New Roman" w:eastAsiaTheme="minorEastAsia"/>
          <w:color w:val="auto"/>
          <w:sz w:val="21"/>
          <w:szCs w:val="21"/>
        </w:rPr>
        <w:t>品牌。</w:t>
      </w:r>
    </w:p>
    <w:p w14:paraId="28AA2B75">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采购人有权在合同履行过程中，每季度随机抽检中标人饮用水（桶装水）的检测合格情况，中标人须根据采购人要求提供由具有CMA或CNAS标识的国家检测部门或第三方检验机构出具对饮用水（桶装水）检验结论为合格的检验报告，由此产生的一切费用应均包含在投标报价中。</w:t>
      </w:r>
      <w:r>
        <w:rPr>
          <w:rFonts w:hint="default" w:ascii="Times New Roman" w:hAnsi="Times New Roman" w:cs="Times New Roman" w:eastAsiaTheme="minorEastAsia"/>
          <w:b/>
          <w:sz w:val="21"/>
          <w:szCs w:val="21"/>
        </w:rPr>
        <w:t>（投标人提供承诺函，格式自定）</w:t>
      </w:r>
    </w:p>
    <w:p w14:paraId="28A5BFDA">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3、货物的包装须完整清洁（无损、无污、无皱），采购人有权拒收包装不整齐、已拆封的商品。</w:t>
      </w:r>
    </w:p>
    <w:p w14:paraId="12F1B5C8">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4、采购人发现商品出现损坏（包括表面损坏），或出现水渍、串味、受潮等导致货物性质改变的，中标人须无条件退货或更换商品。</w:t>
      </w:r>
    </w:p>
    <w:p w14:paraId="146E190C">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5、如果采购人确认需要进行货物质量检验，应及时以书面形式把质量检验的具体要求通知中标人。无论检验结果合格与否，货物质量检验的费用均由中标人承担。检验在中标人交货的最终目的地进行。</w:t>
      </w:r>
    </w:p>
    <w:p w14:paraId="133DA443">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▲6、中标人所送货物的剩余有效期不得少于标注有效期的80%。（提供承诺函）</w:t>
      </w:r>
    </w:p>
    <w:p w14:paraId="12003D50">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7、投标人投入本项目使用的饮水机具有保险公司承保的产品质量责任保险或提供承诺并加盖投标人公章（格式自定），承诺内容为“若中标，在中标公告发出后5个工作日内，向采购人提供保险公司为本项目投入使用的饮水机所承保的产品质量责任保险证明材料，以便采购人存档；如不能提供或提供不全或逾期提供的，视为违约，采购人可将此情况上报政府采购监管部门”。</w:t>
      </w:r>
    </w:p>
    <w:p w14:paraId="1C28F8FF">
      <w:pPr>
        <w:pStyle w:val="7"/>
        <w:keepNext w:val="0"/>
        <w:keepLines w:val="0"/>
        <w:pageBreakBefore w:val="0"/>
        <w:widowControl/>
        <w:kinsoku/>
        <w:wordWrap/>
        <w:overflowPunct/>
        <w:topLinePunct w:val="0"/>
        <w:autoSpaceDE/>
        <w:autoSpaceDN/>
        <w:bidi w:val="0"/>
        <w:adjustRightInd/>
        <w:snapToGrid/>
        <w:spacing w:line="360" w:lineRule="exact"/>
        <w:ind w:firstLine="422"/>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lang w:eastAsia="zh-CN"/>
        </w:rPr>
        <w:t>四、</w:t>
      </w:r>
      <w:r>
        <w:rPr>
          <w:rFonts w:hint="default" w:ascii="Times New Roman" w:hAnsi="Times New Roman" w:cs="Times New Roman" w:eastAsiaTheme="minorEastAsia"/>
          <w:b/>
          <w:sz w:val="21"/>
          <w:szCs w:val="21"/>
        </w:rPr>
        <w:t>售后服务</w:t>
      </w:r>
    </w:p>
    <w:p w14:paraId="7962C1C4">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1、中标人应提供固定电话响应采购人的配送需求；指派专人负责与采购人联系，处理订单及售后服务事宜。</w:t>
      </w:r>
    </w:p>
    <w:p w14:paraId="04B61E8C">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2、本项目货物质保期为：质保期为货物使用有效期。质保期内如货物质量出现问题，中标人对所供货物实行包换、包退，由中标人负责上门退换，并承担因此而产生的一切费用。</w:t>
      </w:r>
    </w:p>
    <w:p w14:paraId="050A4A80">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如货物出现问题，中标人应在1小时内响应；采购人有权根据实际情况对解决问题的时限提出要求，中标人应按照采购人的要求，在规定的处理时限内对问题货物实施退换。中标人未能履行招标文件和合同所定事项，或供应不符合要求的货物，采购人退货后将记录在案，中标人除要承担因此产生的一切损失和费用外，情节严重的采购人按违约处理并上报监管部门。</w:t>
      </w:r>
    </w:p>
    <w:p w14:paraId="14CDED4A">
      <w:pPr>
        <w:pStyle w:val="7"/>
        <w:keepNext w:val="0"/>
        <w:keepLines w:val="0"/>
        <w:pageBreakBefore w:val="0"/>
        <w:widowControl/>
        <w:kinsoku/>
        <w:wordWrap/>
        <w:overflowPunct/>
        <w:topLinePunct w:val="0"/>
        <w:autoSpaceDE/>
        <w:autoSpaceDN/>
        <w:bidi w:val="0"/>
        <w:adjustRightInd/>
        <w:snapToGrid/>
        <w:spacing w:line="360" w:lineRule="exact"/>
        <w:ind w:firstLine="422"/>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b/>
          <w:sz w:val="21"/>
          <w:szCs w:val="21"/>
          <w:lang w:eastAsia="zh-CN"/>
        </w:rPr>
        <w:t>五、</w:t>
      </w:r>
      <w:r>
        <w:rPr>
          <w:rFonts w:hint="default" w:ascii="Times New Roman" w:hAnsi="Times New Roman" w:cs="Times New Roman" w:eastAsiaTheme="minorEastAsia"/>
          <w:b/>
          <w:sz w:val="21"/>
          <w:szCs w:val="21"/>
        </w:rPr>
        <w:t>验收</w:t>
      </w:r>
    </w:p>
    <w:p w14:paraId="68B4C99D">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1、验收标准</w:t>
      </w:r>
    </w:p>
    <w:p w14:paraId="7A46A249">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（1）中标人每次所供货物需经采购人使用科室相关人员进行验收，货物应符合中华人民共和国国家安全质量标准、环保标准或行业标准；符合招标文件和响应承诺中采购人认可的参数及各项服务要求。</w:t>
      </w:r>
    </w:p>
    <w:p w14:paraId="1476DD99">
      <w:pPr>
        <w:keepNext w:val="0"/>
        <w:keepLines w:val="0"/>
        <w:pageBreakBefore w:val="0"/>
        <w:widowControl/>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中标人提供的桶装水水桶无破、脏、旧、过期（检查日期-生产日期＞2年）等情况，表面保持洁净无垢，商标清晰、规范，矿泉水/蒸馏水/纯净水有外包装袋。否则中标人必须更换为干净的产品。同时，采购人有权不签收该次产品。</w:t>
      </w:r>
    </w:p>
    <w:p w14:paraId="0F665352">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2、项目管理和服务月度考核评分</w:t>
      </w:r>
    </w:p>
    <w:p w14:paraId="5D4DDF47">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（1）在服务期限内，中标人必须遵守国家的各项法律、法规，不得转包或分包项目内容，否则采购人有权终止合同并不予退还履约保证金。</w:t>
      </w:r>
    </w:p>
    <w:p w14:paraId="7ADDA7F3">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rPr>
        <w:t>（2）项目管理和服务月度考核评分（具体考评内容详见附件《饮用水</w:t>
      </w:r>
      <w:r>
        <w:rPr>
          <w:rFonts w:hint="default" w:ascii="Times New Roman" w:hAnsi="Times New Roman" w:cs="Times New Roman" w:eastAsiaTheme="minorEastAsia"/>
          <w:sz w:val="21"/>
          <w:szCs w:val="21"/>
          <w:lang w:eastAsia="zh-CN"/>
        </w:rPr>
        <w:t>配送服务</w:t>
      </w:r>
      <w:r>
        <w:rPr>
          <w:rFonts w:hint="default" w:ascii="Times New Roman" w:hAnsi="Times New Roman" w:cs="Times New Roman" w:eastAsiaTheme="minorEastAsia"/>
          <w:sz w:val="21"/>
          <w:szCs w:val="21"/>
        </w:rPr>
        <w:t>月度考核评分表》）</w:t>
      </w:r>
      <w:r>
        <w:rPr>
          <w:rFonts w:hint="default" w:ascii="Times New Roman" w:hAnsi="Times New Roman" w:cs="Times New Roman" w:eastAsiaTheme="minorEastAsia"/>
          <w:sz w:val="21"/>
          <w:szCs w:val="21"/>
          <w:lang w:eastAsia="zh-CN"/>
        </w:rPr>
        <w:t>。</w:t>
      </w:r>
    </w:p>
    <w:p w14:paraId="4F386D9D">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（3）在合同有效期内，中标人达不到采购人提出的服务要求，采购人通知整改，中标人未按期完成或第二次再出现达不到采购人提出的服务要求的，或连续三个月</w:t>
      </w:r>
      <w:r>
        <w:rPr>
          <w:rFonts w:hint="default" w:ascii="Times New Roman" w:hAnsi="Times New Roman" w:cs="Times New Roman" w:eastAsiaTheme="minorEastAsia"/>
          <w:sz w:val="21"/>
          <w:szCs w:val="21"/>
          <w:lang w:eastAsia="zh-CN"/>
        </w:rPr>
        <w:t>考核</w:t>
      </w:r>
      <w:r>
        <w:rPr>
          <w:rFonts w:hint="default" w:ascii="Times New Roman" w:hAnsi="Times New Roman" w:cs="Times New Roman" w:eastAsiaTheme="minorEastAsia"/>
          <w:sz w:val="21"/>
          <w:szCs w:val="21"/>
        </w:rPr>
        <w:t>均低于</w:t>
      </w:r>
      <w:r>
        <w:rPr>
          <w:rFonts w:hint="default" w:ascii="Times New Roman" w:hAnsi="Times New Roman" w:cs="Times New Roman" w:eastAsiaTheme="minorEastAsia"/>
          <w:sz w:val="21"/>
          <w:szCs w:val="21"/>
          <w:lang w:val="en-US" w:eastAsia="zh-CN"/>
        </w:rPr>
        <w:t>60</w:t>
      </w:r>
      <w:r>
        <w:rPr>
          <w:rFonts w:hint="default" w:ascii="Times New Roman" w:hAnsi="Times New Roman" w:cs="Times New Roman" w:eastAsiaTheme="minorEastAsia"/>
          <w:sz w:val="21"/>
          <w:szCs w:val="21"/>
        </w:rPr>
        <w:t>分，或一年内累计有4个月</w:t>
      </w:r>
      <w:r>
        <w:rPr>
          <w:rFonts w:hint="default" w:ascii="Times New Roman" w:hAnsi="Times New Roman" w:cs="Times New Roman" w:eastAsiaTheme="minorEastAsia"/>
          <w:sz w:val="21"/>
          <w:szCs w:val="21"/>
          <w:lang w:eastAsia="zh-CN"/>
        </w:rPr>
        <w:t>考核</w:t>
      </w:r>
      <w:r>
        <w:rPr>
          <w:rFonts w:hint="default" w:ascii="Times New Roman" w:hAnsi="Times New Roman" w:cs="Times New Roman" w:eastAsiaTheme="minorEastAsia"/>
          <w:sz w:val="21"/>
          <w:szCs w:val="21"/>
        </w:rPr>
        <w:t>均低于</w:t>
      </w:r>
      <w:r>
        <w:rPr>
          <w:rFonts w:hint="default" w:ascii="Times New Roman" w:hAnsi="Times New Roman" w:cs="Times New Roman" w:eastAsiaTheme="minorEastAsia"/>
          <w:sz w:val="21"/>
          <w:szCs w:val="21"/>
          <w:lang w:val="en-US" w:eastAsia="zh-CN"/>
        </w:rPr>
        <w:t>60</w:t>
      </w:r>
      <w:r>
        <w:rPr>
          <w:rFonts w:hint="default" w:ascii="Times New Roman" w:hAnsi="Times New Roman" w:cs="Times New Roman" w:eastAsiaTheme="minorEastAsia"/>
          <w:sz w:val="21"/>
          <w:szCs w:val="21"/>
        </w:rPr>
        <w:t>分。采购人有权单方提前终止合同，不予退还履约保证金，违约责任由中标人负责，由此造成的一切损失均由中标人负责。</w:t>
      </w:r>
    </w:p>
    <w:p w14:paraId="10202BB5">
      <w:pPr>
        <w:pStyle w:val="7"/>
        <w:keepNext w:val="0"/>
        <w:keepLines w:val="0"/>
        <w:pageBreakBefore w:val="0"/>
        <w:widowControl/>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附件饮用水</w:t>
      </w:r>
      <w:r>
        <w:rPr>
          <w:rFonts w:hint="default" w:ascii="Times New Roman" w:hAnsi="Times New Roman" w:cs="Times New Roman" w:eastAsiaTheme="minorEastAsia"/>
          <w:sz w:val="21"/>
          <w:szCs w:val="21"/>
          <w:lang w:eastAsia="zh-CN"/>
        </w:rPr>
        <w:t>配送服务</w:t>
      </w:r>
      <w:r>
        <w:rPr>
          <w:rFonts w:hint="default" w:ascii="Times New Roman" w:hAnsi="Times New Roman" w:cs="Times New Roman" w:eastAsiaTheme="minorEastAsia"/>
          <w:sz w:val="21"/>
          <w:szCs w:val="21"/>
        </w:rPr>
        <w:t>月度考核评分表：</w:t>
      </w:r>
    </w:p>
    <w:p w14:paraId="0F9B811E">
      <w:pPr>
        <w:pStyle w:val="7"/>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lang w:eastAsia="zh-CN"/>
        </w:rPr>
        <w:t>广州医科大学附属口腔医院</w:t>
      </w:r>
      <w:r>
        <w:rPr>
          <w:rFonts w:hint="default" w:ascii="Times New Roman" w:hAnsi="Times New Roman" w:cs="Times New Roman" w:eastAsiaTheme="minorEastAsia"/>
          <w:sz w:val="21"/>
          <w:szCs w:val="21"/>
        </w:rPr>
        <w:t>饮用水</w:t>
      </w:r>
      <w:r>
        <w:rPr>
          <w:rFonts w:hint="default" w:ascii="Times New Roman" w:hAnsi="Times New Roman" w:cs="Times New Roman" w:eastAsiaTheme="minorEastAsia"/>
          <w:sz w:val="21"/>
          <w:szCs w:val="21"/>
          <w:lang w:eastAsia="zh-CN"/>
        </w:rPr>
        <w:t>配送服务</w:t>
      </w:r>
      <w:r>
        <w:rPr>
          <w:rFonts w:hint="default" w:ascii="Times New Roman" w:hAnsi="Times New Roman" w:cs="Times New Roman" w:eastAsiaTheme="minorEastAsia"/>
          <w:sz w:val="21"/>
          <w:szCs w:val="21"/>
        </w:rPr>
        <w:t>月度考核评分表</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716"/>
        <w:gridCol w:w="2676"/>
        <w:gridCol w:w="907"/>
        <w:gridCol w:w="2541"/>
        <w:gridCol w:w="837"/>
        <w:gridCol w:w="837"/>
      </w:tblGrid>
      <w:tr w14:paraId="179BA575">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259041F6">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项目</w:t>
            </w:r>
          </w:p>
        </w:tc>
        <w:tc>
          <w:tcPr>
            <w:tcW w:w="2676"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66080AD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考核内容</w:t>
            </w:r>
          </w:p>
        </w:tc>
        <w:tc>
          <w:tcPr>
            <w:tcW w:w="90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19CBD4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标准评分</w:t>
            </w:r>
          </w:p>
        </w:tc>
        <w:tc>
          <w:tcPr>
            <w:tcW w:w="2541"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5F946D8B">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考评标准</w:t>
            </w:r>
          </w:p>
        </w:tc>
        <w:tc>
          <w:tcPr>
            <w:tcW w:w="83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F238C64">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科室评分</w:t>
            </w:r>
          </w:p>
        </w:tc>
        <w:tc>
          <w:tcPr>
            <w:tcW w:w="837"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31E612F0">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eastAsia="zh-CN"/>
              </w:rPr>
              <w:t>扣分说明</w:t>
            </w:r>
          </w:p>
        </w:tc>
      </w:tr>
      <w:tr w14:paraId="10C2A347">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4592BBB9">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1</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8BD8609">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及时性</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BA86085">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20</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2CC10D88">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根据采购人要求的时间、地点，及时配送。</w:t>
            </w:r>
            <w:r>
              <w:rPr>
                <w:rFonts w:hint="default" w:ascii="Times New Roman" w:hAnsi="Times New Roman" w:cs="Times New Roman" w:eastAsiaTheme="minorEastAsia"/>
                <w:kern w:val="0"/>
                <w:sz w:val="21"/>
                <w:szCs w:val="21"/>
              </w:rPr>
              <w:br w:type="textWrapping"/>
            </w:r>
            <w:r>
              <w:rPr>
                <w:rFonts w:hint="default" w:ascii="Times New Roman" w:hAnsi="Times New Roman" w:cs="Times New Roman" w:eastAsiaTheme="minorEastAsia"/>
                <w:kern w:val="0"/>
                <w:sz w:val="21"/>
                <w:szCs w:val="21"/>
              </w:rPr>
              <w:t>每发生一单超时配送，扣</w:t>
            </w:r>
            <w:r>
              <w:rPr>
                <w:rFonts w:hint="default" w:ascii="Times New Roman" w:hAnsi="Times New Roman" w:cs="Times New Roman" w:eastAsiaTheme="minorEastAsia"/>
                <w:kern w:val="0"/>
                <w:sz w:val="21"/>
                <w:szCs w:val="21"/>
                <w:lang w:val="en-US" w:eastAsia="zh-CN"/>
              </w:rPr>
              <w:t>2</w:t>
            </w:r>
            <w:r>
              <w:rPr>
                <w:rFonts w:hint="default" w:ascii="Times New Roman" w:hAnsi="Times New Roman" w:cs="Times New Roman" w:eastAsiaTheme="minorEastAsia"/>
                <w:kern w:val="0"/>
                <w:sz w:val="21"/>
                <w:szCs w:val="21"/>
              </w:rPr>
              <w:t>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26A4057">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44E190E">
            <w:pPr>
              <w:pStyle w:val="7"/>
              <w:jc w:val="center"/>
              <w:rPr>
                <w:rFonts w:hint="default" w:ascii="Times New Roman" w:hAnsi="Times New Roman" w:cs="Times New Roman" w:eastAsiaTheme="minorEastAsia"/>
                <w:sz w:val="21"/>
                <w:szCs w:val="21"/>
              </w:rPr>
            </w:pPr>
          </w:p>
        </w:tc>
      </w:tr>
      <w:tr w14:paraId="5B7C982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3D92DB3C">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2</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1F7D7C0B">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准确性</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4FCDF9AD">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20</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7F29C4E7">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按采购人所下单的货物规格型号、数量等进行配送。</w:t>
            </w:r>
            <w:r>
              <w:rPr>
                <w:rFonts w:hint="default" w:ascii="Times New Roman" w:hAnsi="Times New Roman" w:cs="Times New Roman" w:eastAsiaTheme="minorEastAsia"/>
                <w:kern w:val="0"/>
                <w:sz w:val="21"/>
                <w:szCs w:val="21"/>
              </w:rPr>
              <w:br w:type="textWrapping"/>
            </w:r>
            <w:r>
              <w:rPr>
                <w:rFonts w:hint="default" w:ascii="Times New Roman" w:hAnsi="Times New Roman" w:cs="Times New Roman" w:eastAsiaTheme="minorEastAsia"/>
                <w:kern w:val="0"/>
                <w:sz w:val="21"/>
                <w:szCs w:val="21"/>
              </w:rPr>
              <w:t>每发生一次配送错误，扣</w:t>
            </w:r>
            <w:r>
              <w:rPr>
                <w:rFonts w:hint="default" w:ascii="Times New Roman" w:hAnsi="Times New Roman" w:cs="Times New Roman" w:eastAsiaTheme="minorEastAsia"/>
                <w:kern w:val="0"/>
                <w:sz w:val="21"/>
                <w:szCs w:val="21"/>
                <w:lang w:val="en-US" w:eastAsia="zh-CN"/>
              </w:rPr>
              <w:t>2</w:t>
            </w:r>
            <w:r>
              <w:rPr>
                <w:rFonts w:hint="default" w:ascii="Times New Roman" w:hAnsi="Times New Roman" w:cs="Times New Roman" w:eastAsiaTheme="minorEastAsia"/>
                <w:kern w:val="0"/>
                <w:sz w:val="21"/>
                <w:szCs w:val="21"/>
              </w:rPr>
              <w:t>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C03C153">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8BAF2BF">
            <w:pPr>
              <w:pStyle w:val="7"/>
              <w:jc w:val="center"/>
              <w:rPr>
                <w:rFonts w:hint="default" w:ascii="Times New Roman" w:hAnsi="Times New Roman" w:cs="Times New Roman" w:eastAsiaTheme="minorEastAsia"/>
                <w:sz w:val="21"/>
                <w:szCs w:val="21"/>
              </w:rPr>
            </w:pPr>
          </w:p>
        </w:tc>
      </w:tr>
      <w:tr w14:paraId="575F33C3">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105513DD">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3</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1CFF6FC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按规定穿着工衣</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C20C1BE">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0E4D3D87">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违反一次未穿工衣扣</w:t>
            </w:r>
            <w:r>
              <w:rPr>
                <w:rFonts w:hint="default" w:ascii="Times New Roman" w:hAnsi="Times New Roman" w:cs="Times New Roman" w:eastAsiaTheme="minorEastAsia"/>
                <w:sz w:val="21"/>
                <w:szCs w:val="21"/>
                <w:lang w:val="en-US" w:eastAsia="zh-CN"/>
              </w:rPr>
              <w:t>1</w:t>
            </w:r>
            <w:r>
              <w:rPr>
                <w:rFonts w:hint="default" w:ascii="Times New Roman" w:hAnsi="Times New Roman" w:cs="Times New Roman" w:eastAsiaTheme="minorEastAsia"/>
                <w:sz w:val="21"/>
                <w:szCs w:val="21"/>
              </w:rPr>
              <w:t>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6C7F07FD">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E1788BA">
            <w:pPr>
              <w:pStyle w:val="7"/>
              <w:jc w:val="center"/>
              <w:rPr>
                <w:rFonts w:hint="default" w:ascii="Times New Roman" w:hAnsi="Times New Roman" w:cs="Times New Roman" w:eastAsiaTheme="minorEastAsia"/>
                <w:sz w:val="21"/>
                <w:szCs w:val="21"/>
              </w:rPr>
            </w:pPr>
          </w:p>
        </w:tc>
      </w:tr>
      <w:tr w14:paraId="6C5D4216">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28D3E2FA">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4</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E35EBD">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按合同每季度清洗消毒一次水机并做好签名登记</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top"/>
          </w:tcPr>
          <w:p w14:paraId="65AADE7C">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10</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top"/>
          </w:tcPr>
          <w:p w14:paraId="3AC5717B">
            <w:pPr>
              <w:pStyle w:val="7"/>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违反一次未清洗消毒扣10分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0915CC01">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99B543C">
            <w:pPr>
              <w:pStyle w:val="7"/>
              <w:jc w:val="center"/>
              <w:rPr>
                <w:rFonts w:hint="default" w:ascii="Times New Roman" w:hAnsi="Times New Roman" w:cs="Times New Roman" w:eastAsiaTheme="minorEastAsia"/>
                <w:sz w:val="21"/>
                <w:szCs w:val="21"/>
              </w:rPr>
            </w:pPr>
          </w:p>
        </w:tc>
      </w:tr>
      <w:tr w14:paraId="5E8FE144">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6D52088">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5</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31449EF7">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包装完好情况</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2C54A8C4">
            <w:pPr>
              <w:widowControl/>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sz w:val="21"/>
                <w:szCs w:val="21"/>
                <w:lang w:val="en-US" w:eastAsia="zh-CN"/>
              </w:rPr>
              <w:t>15</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5187C76D">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根据所配送货物特点、天气等因素对货物进行包装，确保配送达到地点后，包装完好无损。</w:t>
            </w:r>
            <w:r>
              <w:rPr>
                <w:rFonts w:hint="default" w:ascii="Times New Roman" w:hAnsi="Times New Roman" w:cs="Times New Roman" w:eastAsiaTheme="minorEastAsia"/>
                <w:kern w:val="0"/>
                <w:sz w:val="21"/>
                <w:szCs w:val="21"/>
              </w:rPr>
              <w:br w:type="textWrapping"/>
            </w:r>
            <w:r>
              <w:rPr>
                <w:rFonts w:hint="default" w:ascii="Times New Roman" w:hAnsi="Times New Roman" w:cs="Times New Roman" w:eastAsiaTheme="minorEastAsia"/>
                <w:kern w:val="0"/>
                <w:sz w:val="21"/>
                <w:szCs w:val="21"/>
              </w:rPr>
              <w:t>每发生一次包装破损影响使用，扣1分。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7ECFC103">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2523BDB4">
            <w:pPr>
              <w:pStyle w:val="7"/>
              <w:jc w:val="center"/>
              <w:rPr>
                <w:rFonts w:hint="default" w:ascii="Times New Roman" w:hAnsi="Times New Roman" w:cs="Times New Roman" w:eastAsiaTheme="minorEastAsia"/>
                <w:sz w:val="21"/>
                <w:szCs w:val="21"/>
              </w:rPr>
            </w:pPr>
          </w:p>
        </w:tc>
      </w:tr>
      <w:tr w14:paraId="09DF290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4E5088E">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6</w:t>
            </w: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21D42073">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退换货配合度</w:t>
            </w: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0561B29F">
            <w:pPr>
              <w:widowControl/>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kern w:val="0"/>
                <w:sz w:val="21"/>
                <w:szCs w:val="21"/>
                <w:lang w:val="en-US" w:eastAsia="zh-CN"/>
              </w:rPr>
              <w:t>15</w:t>
            </w: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2405292C">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配合采购人在货物有缺陷、不适用等情形下进行退换货。</w:t>
            </w:r>
            <w:r>
              <w:rPr>
                <w:rFonts w:hint="default" w:ascii="Times New Roman" w:hAnsi="Times New Roman" w:cs="Times New Roman" w:eastAsiaTheme="minorEastAsia"/>
                <w:kern w:val="0"/>
                <w:sz w:val="21"/>
                <w:szCs w:val="21"/>
              </w:rPr>
              <w:br w:type="textWrapping"/>
            </w:r>
            <w:r>
              <w:rPr>
                <w:rFonts w:hint="default" w:ascii="Times New Roman" w:hAnsi="Times New Roman" w:cs="Times New Roman" w:eastAsiaTheme="minorEastAsia"/>
                <w:kern w:val="0"/>
                <w:sz w:val="21"/>
                <w:szCs w:val="21"/>
              </w:rPr>
              <w:t>无正当理由拒绝退换货，每发生一次，扣1分。</w:t>
            </w: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5234B963">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443D793E">
            <w:pPr>
              <w:pStyle w:val="7"/>
              <w:jc w:val="center"/>
              <w:rPr>
                <w:rFonts w:hint="default" w:ascii="Times New Roman" w:hAnsi="Times New Roman" w:cs="Times New Roman" w:eastAsiaTheme="minorEastAsia"/>
                <w:sz w:val="21"/>
                <w:szCs w:val="21"/>
              </w:rPr>
            </w:pPr>
          </w:p>
        </w:tc>
      </w:tr>
      <w:tr w14:paraId="179167A8">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716" w:type="dxa"/>
            <w:tcBorders>
              <w:top w:val="nil"/>
              <w:left w:val="single" w:color="000000" w:sz="4" w:space="0"/>
              <w:bottom w:val="nil"/>
              <w:right w:val="single" w:color="000000" w:sz="4" w:space="0"/>
            </w:tcBorders>
            <w:tcMar>
              <w:top w:w="0" w:type="dxa"/>
              <w:left w:w="105" w:type="dxa"/>
              <w:bottom w:w="0" w:type="dxa"/>
              <w:right w:w="105" w:type="dxa"/>
            </w:tcMar>
            <w:vAlign w:val="top"/>
          </w:tcPr>
          <w:p w14:paraId="4571400D">
            <w:pPr>
              <w:pStyle w:val="7"/>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eastAsiaTheme="minorEastAsia"/>
                <w:sz w:val="21"/>
                <w:szCs w:val="21"/>
                <w:lang w:val="en-US" w:eastAsia="zh-CN"/>
              </w:rPr>
              <w:t>7</w:t>
            </w:r>
          </w:p>
        </w:tc>
        <w:tc>
          <w:tcPr>
            <w:tcW w:w="2676" w:type="dxa"/>
            <w:tcBorders>
              <w:top w:val="nil"/>
              <w:left w:val="nil"/>
              <w:bottom w:val="nil"/>
              <w:right w:val="single" w:color="000000" w:sz="4" w:space="0"/>
            </w:tcBorders>
            <w:tcMar>
              <w:top w:w="0" w:type="dxa"/>
              <w:left w:w="105" w:type="dxa"/>
              <w:bottom w:w="0" w:type="dxa"/>
              <w:right w:w="105" w:type="dxa"/>
            </w:tcMar>
            <w:vAlign w:val="center"/>
          </w:tcPr>
          <w:p w14:paraId="5B237947">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部门投诉情况</w:t>
            </w:r>
          </w:p>
        </w:tc>
        <w:tc>
          <w:tcPr>
            <w:tcW w:w="907" w:type="dxa"/>
            <w:tcBorders>
              <w:top w:val="nil"/>
              <w:left w:val="nil"/>
              <w:bottom w:val="nil"/>
              <w:right w:val="single" w:color="000000" w:sz="4" w:space="0"/>
            </w:tcBorders>
            <w:tcMar>
              <w:top w:w="0" w:type="dxa"/>
              <w:left w:w="105" w:type="dxa"/>
              <w:bottom w:w="0" w:type="dxa"/>
              <w:right w:w="105" w:type="dxa"/>
            </w:tcMar>
            <w:vAlign w:val="center"/>
          </w:tcPr>
          <w:p w14:paraId="7B8C1679">
            <w:pPr>
              <w:widowControl/>
              <w:jc w:val="center"/>
              <w:textAlignment w:val="center"/>
              <w:rPr>
                <w:rFonts w:hint="default" w:ascii="Times New Roman" w:hAnsi="Times New Roman" w:cs="Times New Roman" w:eastAsiaTheme="minorEastAsia"/>
                <w:sz w:val="21"/>
                <w:szCs w:val="21"/>
                <w:lang w:val="en-US" w:eastAsia="zh-CN"/>
              </w:rPr>
            </w:pPr>
            <w:r>
              <w:rPr>
                <w:rFonts w:hint="default" w:ascii="Times New Roman" w:hAnsi="Times New Roman" w:cs="Times New Roman" w:eastAsiaTheme="minorEastAsia"/>
                <w:kern w:val="0"/>
                <w:sz w:val="21"/>
                <w:szCs w:val="21"/>
                <w:lang w:val="en-US" w:eastAsia="zh-CN"/>
              </w:rPr>
              <w:t>10</w:t>
            </w:r>
          </w:p>
        </w:tc>
        <w:tc>
          <w:tcPr>
            <w:tcW w:w="2541" w:type="dxa"/>
            <w:tcBorders>
              <w:top w:val="nil"/>
              <w:left w:val="nil"/>
              <w:bottom w:val="nil"/>
              <w:right w:val="single" w:color="000000" w:sz="4" w:space="0"/>
            </w:tcBorders>
            <w:tcMar>
              <w:top w:w="0" w:type="dxa"/>
              <w:left w:w="105" w:type="dxa"/>
              <w:bottom w:w="0" w:type="dxa"/>
              <w:right w:w="105" w:type="dxa"/>
            </w:tcMar>
            <w:vAlign w:val="center"/>
          </w:tcPr>
          <w:p w14:paraId="376F9612">
            <w:pPr>
              <w:widowControl/>
              <w:jc w:val="center"/>
              <w:textAlignment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kern w:val="0"/>
                <w:sz w:val="21"/>
                <w:szCs w:val="21"/>
              </w:rPr>
              <w:t>根据采购人要求，做好配送服务。</w:t>
            </w:r>
            <w:r>
              <w:rPr>
                <w:rFonts w:hint="default" w:ascii="Times New Roman" w:hAnsi="Times New Roman" w:cs="Times New Roman" w:eastAsiaTheme="minorEastAsia"/>
                <w:kern w:val="0"/>
                <w:sz w:val="21"/>
                <w:szCs w:val="21"/>
              </w:rPr>
              <w:br w:type="textWrapping"/>
            </w:r>
            <w:r>
              <w:rPr>
                <w:rFonts w:hint="default" w:ascii="Times New Roman" w:hAnsi="Times New Roman" w:cs="Times New Roman" w:eastAsiaTheme="minorEastAsia"/>
                <w:kern w:val="0"/>
                <w:sz w:val="21"/>
                <w:szCs w:val="21"/>
              </w:rPr>
              <w:t>每发生一次使用部门投诉，扣</w:t>
            </w:r>
            <w:r>
              <w:rPr>
                <w:rFonts w:hint="default" w:ascii="Times New Roman" w:hAnsi="Times New Roman" w:cs="Times New Roman" w:eastAsiaTheme="minorEastAsia"/>
                <w:kern w:val="0"/>
                <w:sz w:val="21"/>
                <w:szCs w:val="21"/>
                <w:lang w:val="en-US" w:eastAsia="zh-CN"/>
              </w:rPr>
              <w:t>1</w:t>
            </w:r>
            <w:r>
              <w:rPr>
                <w:rFonts w:hint="default" w:ascii="Times New Roman" w:hAnsi="Times New Roman" w:cs="Times New Roman" w:eastAsiaTheme="minorEastAsia"/>
                <w:kern w:val="0"/>
                <w:sz w:val="21"/>
                <w:szCs w:val="21"/>
              </w:rPr>
              <w:t>分。</w:t>
            </w:r>
          </w:p>
        </w:tc>
        <w:tc>
          <w:tcPr>
            <w:tcW w:w="837" w:type="dxa"/>
            <w:tcBorders>
              <w:top w:val="nil"/>
              <w:left w:val="nil"/>
              <w:bottom w:val="nil"/>
              <w:right w:val="single" w:color="000000" w:sz="4" w:space="0"/>
            </w:tcBorders>
            <w:tcMar>
              <w:top w:w="0" w:type="dxa"/>
              <w:left w:w="105" w:type="dxa"/>
              <w:bottom w:w="0" w:type="dxa"/>
              <w:right w:w="105" w:type="dxa"/>
            </w:tcMar>
            <w:vAlign w:val="top"/>
          </w:tcPr>
          <w:p w14:paraId="50317480">
            <w:pPr>
              <w:pStyle w:val="7"/>
              <w:jc w:val="center"/>
              <w:rPr>
                <w:rFonts w:hint="default" w:ascii="Times New Roman" w:hAnsi="Times New Roman" w:cs="Times New Roman" w:eastAsiaTheme="minorEastAsia"/>
                <w:sz w:val="21"/>
                <w:szCs w:val="21"/>
              </w:rPr>
            </w:pPr>
          </w:p>
        </w:tc>
        <w:tc>
          <w:tcPr>
            <w:tcW w:w="837" w:type="dxa"/>
            <w:tcBorders>
              <w:top w:val="nil"/>
              <w:left w:val="nil"/>
              <w:bottom w:val="nil"/>
              <w:right w:val="single" w:color="000000" w:sz="4" w:space="0"/>
            </w:tcBorders>
            <w:tcMar>
              <w:top w:w="0" w:type="dxa"/>
              <w:left w:w="105" w:type="dxa"/>
              <w:bottom w:w="0" w:type="dxa"/>
              <w:right w:w="105" w:type="dxa"/>
            </w:tcMar>
            <w:vAlign w:val="top"/>
          </w:tcPr>
          <w:p w14:paraId="0E04EAEB">
            <w:pPr>
              <w:pStyle w:val="7"/>
              <w:jc w:val="center"/>
              <w:rPr>
                <w:rFonts w:hint="default" w:ascii="Times New Roman" w:hAnsi="Times New Roman" w:cs="Times New Roman" w:eastAsiaTheme="minorEastAsia"/>
                <w:sz w:val="21"/>
                <w:szCs w:val="21"/>
              </w:rPr>
            </w:pPr>
          </w:p>
        </w:tc>
      </w:tr>
      <w:tr w14:paraId="19756C3A">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rPr>
          <w:trHeight w:val="95" w:hRule="atLeast"/>
        </w:trPr>
        <w:tc>
          <w:tcPr>
            <w:tcW w:w="716"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0EC1670C">
            <w:pPr>
              <w:pStyle w:val="7"/>
              <w:jc w:val="both"/>
              <w:rPr>
                <w:rFonts w:hint="default" w:ascii="Times New Roman" w:hAnsi="Times New Roman" w:cs="Times New Roman" w:eastAsiaTheme="minorEastAsia"/>
                <w:sz w:val="21"/>
                <w:szCs w:val="21"/>
                <w:lang w:val="en-US" w:eastAsia="zh-CN"/>
              </w:rPr>
            </w:pPr>
          </w:p>
        </w:tc>
        <w:tc>
          <w:tcPr>
            <w:tcW w:w="2676"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4A41AB81">
            <w:pPr>
              <w:widowControl/>
              <w:jc w:val="center"/>
              <w:textAlignment w:val="center"/>
              <w:rPr>
                <w:rFonts w:hint="default" w:ascii="Times New Roman" w:hAnsi="Times New Roman" w:cs="Times New Roman" w:eastAsiaTheme="minorEastAsia"/>
                <w:kern w:val="0"/>
                <w:sz w:val="21"/>
                <w:szCs w:val="21"/>
              </w:rPr>
            </w:pPr>
          </w:p>
        </w:tc>
        <w:tc>
          <w:tcPr>
            <w:tcW w:w="907"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6CCAD94B">
            <w:pPr>
              <w:widowControl/>
              <w:jc w:val="center"/>
              <w:textAlignment w:val="center"/>
              <w:rPr>
                <w:rFonts w:hint="default" w:ascii="Times New Roman" w:hAnsi="Times New Roman" w:cs="Times New Roman" w:eastAsiaTheme="minorEastAsia"/>
                <w:kern w:val="0"/>
                <w:sz w:val="21"/>
                <w:szCs w:val="21"/>
                <w:lang w:val="en-US" w:eastAsia="zh-CN"/>
              </w:rPr>
            </w:pPr>
          </w:p>
        </w:tc>
        <w:tc>
          <w:tcPr>
            <w:tcW w:w="2541" w:type="dxa"/>
            <w:tcBorders>
              <w:top w:val="nil"/>
              <w:left w:val="nil"/>
              <w:bottom w:val="single" w:color="000000" w:sz="4" w:space="0"/>
              <w:right w:val="single" w:color="000000" w:sz="4" w:space="0"/>
            </w:tcBorders>
            <w:tcMar>
              <w:top w:w="0" w:type="dxa"/>
              <w:left w:w="105" w:type="dxa"/>
              <w:bottom w:w="0" w:type="dxa"/>
              <w:right w:w="105" w:type="dxa"/>
            </w:tcMar>
            <w:vAlign w:val="center"/>
          </w:tcPr>
          <w:p w14:paraId="6C8198E5">
            <w:pPr>
              <w:widowControl/>
              <w:jc w:val="left"/>
              <w:textAlignment w:val="center"/>
              <w:rPr>
                <w:rFonts w:hint="default" w:ascii="Times New Roman" w:hAnsi="Times New Roman" w:cs="Times New Roman" w:eastAsiaTheme="minorEastAsia"/>
                <w:kern w:val="0"/>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9A90AE2">
            <w:pPr>
              <w:pStyle w:val="7"/>
              <w:jc w:val="center"/>
              <w:rPr>
                <w:rFonts w:hint="default" w:ascii="Times New Roman" w:hAnsi="Times New Roman" w:cs="Times New Roman" w:eastAsiaTheme="minorEastAsia"/>
                <w:sz w:val="21"/>
                <w:szCs w:val="21"/>
              </w:rPr>
            </w:pPr>
          </w:p>
        </w:tc>
        <w:tc>
          <w:tcPr>
            <w:tcW w:w="837" w:type="dxa"/>
            <w:tcBorders>
              <w:top w:val="nil"/>
              <w:left w:val="nil"/>
              <w:bottom w:val="single" w:color="000000" w:sz="4" w:space="0"/>
              <w:right w:val="single" w:color="000000" w:sz="4" w:space="0"/>
            </w:tcBorders>
            <w:tcMar>
              <w:top w:w="0" w:type="dxa"/>
              <w:left w:w="105" w:type="dxa"/>
              <w:bottom w:w="0" w:type="dxa"/>
              <w:right w:w="105" w:type="dxa"/>
            </w:tcMar>
            <w:vAlign w:val="top"/>
          </w:tcPr>
          <w:p w14:paraId="1044D119">
            <w:pPr>
              <w:pStyle w:val="7"/>
              <w:jc w:val="center"/>
              <w:rPr>
                <w:rFonts w:hint="default" w:ascii="Times New Roman" w:hAnsi="Times New Roman" w:cs="Times New Roman" w:eastAsiaTheme="minorEastAsia"/>
                <w:sz w:val="21"/>
                <w:szCs w:val="21"/>
              </w:rPr>
            </w:pPr>
          </w:p>
        </w:tc>
      </w:tr>
    </w:tbl>
    <w:p w14:paraId="26927D36">
      <w:pPr>
        <w:keepNext w:val="0"/>
        <w:keepLines w:val="0"/>
        <w:pageBreakBefore w:val="0"/>
        <w:kinsoku/>
        <w:wordWrap/>
        <w:overflowPunct/>
        <w:topLinePunct w:val="0"/>
        <w:autoSpaceDE/>
        <w:autoSpaceDN/>
        <w:bidi w:val="0"/>
        <w:adjustRightInd/>
        <w:snapToGrid/>
        <w:spacing w:line="360" w:lineRule="exact"/>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注：如有特殊情况可先与采购人沟通，采购人同意后可不扣分。</w:t>
      </w:r>
    </w:p>
    <w:p w14:paraId="47B7EB52">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本考核办法下总分为100分，</w:t>
      </w:r>
    </w:p>
    <w:p w14:paraId="57E721EC">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当月被考核人得分≥90分，采购人全额支付当月款项；</w:t>
      </w:r>
    </w:p>
    <w:p w14:paraId="7CB29BC4">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当月被考核人80分≤分数＜90分，采购人支付当月95%的款项；</w:t>
      </w:r>
    </w:p>
    <w:p w14:paraId="52B993A9">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当月被考核人70分≤分数＜80分，采购人支付当月90%的款项；</w:t>
      </w:r>
    </w:p>
    <w:p w14:paraId="6D1F15F9">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当月被考核人60分≤分数＜70分，采购人支付当月85%的款项；</w:t>
      </w:r>
    </w:p>
    <w:p w14:paraId="5210DEF4">
      <w:pPr>
        <w:keepNext w:val="0"/>
        <w:keepLines w:val="0"/>
        <w:pageBreakBefore w:val="0"/>
        <w:kinsoku/>
        <w:wordWrap/>
        <w:overflowPunct/>
        <w:topLinePunct w:val="0"/>
        <w:autoSpaceDE/>
        <w:autoSpaceDN/>
        <w:bidi w:val="0"/>
        <w:adjustRightInd/>
        <w:snapToGrid/>
        <w:spacing w:line="360" w:lineRule="exact"/>
        <w:ind w:firstLine="420" w:firstLineChars="200"/>
        <w:jc w:val="left"/>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被考核人得分在60分以下，经采购人三次沟通仍无改善，采购人有权解除合同，被考核人不得有异议。</w:t>
      </w:r>
    </w:p>
    <w:p w14:paraId="11441793">
      <w:pPr>
        <w:pStyle w:val="7"/>
        <w:keepNext w:val="0"/>
        <w:keepLines w:val="0"/>
        <w:pageBreakBefore w:val="0"/>
        <w:kinsoku/>
        <w:wordWrap/>
        <w:overflowPunct/>
        <w:topLinePunct w:val="0"/>
        <w:autoSpaceDE/>
        <w:autoSpaceDN/>
        <w:bidi w:val="0"/>
        <w:adjustRightInd/>
        <w:snapToGrid/>
        <w:spacing w:line="360" w:lineRule="exact"/>
        <w:ind w:firstLine="420"/>
        <w:jc w:val="both"/>
        <w:textAlignment w:val="auto"/>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附件：</w:t>
      </w:r>
    </w:p>
    <w:tbl>
      <w:tblPr>
        <w:tblStyle w:val="4"/>
        <w:tblW w:w="0" w:type="auto"/>
        <w:tblInd w:w="0" w:type="dxa"/>
        <w:tblBorders>
          <w:top w:val="none" w:color="000000" w:sz="4" w:space="0"/>
          <w:left w:val="none" w:color="000000" w:sz="4" w:space="0"/>
          <w:bottom w:val="none" w:color="000000" w:sz="4" w:space="0"/>
          <w:right w:val="none" w:color="000000" w:sz="4" w:space="0"/>
          <w:insideH w:val="none" w:color="auto" w:sz="0" w:space="0"/>
          <w:insideV w:val="none" w:color="auto" w:sz="0" w:space="0"/>
        </w:tblBorders>
        <w:tblLayout w:type="autofit"/>
        <w:tblCellMar>
          <w:top w:w="0" w:type="dxa"/>
          <w:left w:w="108" w:type="dxa"/>
          <w:bottom w:w="0" w:type="dxa"/>
          <w:right w:w="108" w:type="dxa"/>
        </w:tblCellMar>
      </w:tblPr>
      <w:tblGrid>
        <w:gridCol w:w="4170"/>
        <w:gridCol w:w="4170"/>
      </w:tblGrid>
      <w:tr w14:paraId="1C9D02F1">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PrEx>
        <w:tc>
          <w:tcPr>
            <w:tcW w:w="4153" w:type="dxa"/>
            <w:tcBorders>
              <w:top w:val="single" w:color="000000" w:sz="4" w:space="0"/>
              <w:left w:val="single" w:color="000000" w:sz="4" w:space="0"/>
              <w:bottom w:val="single" w:color="000000" w:sz="4" w:space="0"/>
              <w:right w:val="single" w:color="000000" w:sz="4" w:space="0"/>
            </w:tcBorders>
            <w:tcMar>
              <w:top w:w="0" w:type="dxa"/>
              <w:left w:w="105" w:type="dxa"/>
              <w:bottom w:w="0" w:type="dxa"/>
              <w:right w:w="105" w:type="dxa"/>
            </w:tcMar>
            <w:vAlign w:val="top"/>
          </w:tcPr>
          <w:p w14:paraId="12164D98">
            <w:pPr>
              <w:pStyle w:val="7"/>
              <w:jc w:val="center"/>
            </w:pPr>
            <w:r>
              <w:rPr>
                <w:sz w:val="21"/>
              </w:rPr>
              <w:t>柜式饮水机示例图（仅供参考）</w:t>
            </w:r>
          </w:p>
        </w:tc>
        <w:tc>
          <w:tcPr>
            <w:tcW w:w="4153" w:type="dxa"/>
            <w:tcBorders>
              <w:top w:val="single" w:color="000000" w:sz="4" w:space="0"/>
              <w:left w:val="nil"/>
              <w:bottom w:val="single" w:color="000000" w:sz="4" w:space="0"/>
              <w:right w:val="single" w:color="000000" w:sz="4" w:space="0"/>
            </w:tcBorders>
            <w:tcMar>
              <w:top w:w="0" w:type="dxa"/>
              <w:left w:w="105" w:type="dxa"/>
              <w:bottom w:w="0" w:type="dxa"/>
              <w:right w:w="105" w:type="dxa"/>
            </w:tcMar>
            <w:vAlign w:val="top"/>
          </w:tcPr>
          <w:p w14:paraId="09433A40">
            <w:pPr>
              <w:pStyle w:val="7"/>
              <w:jc w:val="center"/>
            </w:pPr>
            <w:r>
              <w:rPr>
                <w:sz w:val="21"/>
              </w:rPr>
              <w:t>台式饮水机示例图（仅供参考）</w:t>
            </w:r>
          </w:p>
        </w:tc>
      </w:tr>
      <w:tr w14:paraId="6FE8957B">
        <w:tblPrEx>
          <w:tblBorders>
            <w:top w:val="none" w:color="000000" w:sz="4" w:space="0"/>
            <w:left w:val="none" w:color="000000" w:sz="4" w:space="0"/>
            <w:bottom w:val="none" w:color="000000" w:sz="4" w:space="0"/>
            <w:right w:val="none" w:color="000000" w:sz="4" w:space="0"/>
            <w:insideH w:val="none" w:color="auto" w:sz="0" w:space="0"/>
            <w:insideV w:val="none" w:color="auto" w:sz="0" w:space="0"/>
          </w:tblBorders>
          <w:tblCellMar>
            <w:top w:w="0" w:type="dxa"/>
            <w:left w:w="108" w:type="dxa"/>
            <w:bottom w:w="0" w:type="dxa"/>
            <w:right w:w="108" w:type="dxa"/>
          </w:tblCellMar>
        </w:tblPrEx>
        <w:tc>
          <w:tcPr>
            <w:tcW w:w="4153" w:type="dxa"/>
            <w:tcBorders>
              <w:top w:val="nil"/>
              <w:left w:val="single" w:color="000000" w:sz="4" w:space="0"/>
              <w:bottom w:val="single" w:color="000000" w:sz="4" w:space="0"/>
              <w:right w:val="single" w:color="000000" w:sz="4" w:space="0"/>
            </w:tcBorders>
            <w:tcMar>
              <w:top w:w="0" w:type="dxa"/>
              <w:left w:w="105" w:type="dxa"/>
              <w:bottom w:w="0" w:type="dxa"/>
              <w:right w:w="105" w:type="dxa"/>
            </w:tcMar>
            <w:vAlign w:val="top"/>
          </w:tcPr>
          <w:p w14:paraId="5EABD1A2">
            <w:pPr>
              <w:pStyle w:val="7"/>
            </w:pPr>
            <w:r>
              <w:drawing>
                <wp:inline distT="0" distB="0" distL="0" distR="0">
                  <wp:extent cx="2499995" cy="2870200"/>
                  <wp:effectExtent l="0" t="0" r="14605" b="6350"/>
                  <wp:docPr id="1" name="Drawing 1"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awing 1" descr="img"/>
                          <pic:cNvPicPr>
                            <a:picLocks noChangeAspect="1"/>
                          </pic:cNvPicPr>
                        </pic:nvPicPr>
                        <pic:blipFill>
                          <a:blip r:embed="rId4"/>
                          <a:stretch>
                            <a:fillRect/>
                          </a:stretch>
                        </pic:blipFill>
                        <pic:spPr>
                          <a:xfrm>
                            <a:off x="0" y="0"/>
                            <a:ext cx="2499995" cy="2870716"/>
                          </a:xfrm>
                          <a:prstGeom prst="rect">
                            <a:avLst/>
                          </a:prstGeom>
                        </pic:spPr>
                      </pic:pic>
                    </a:graphicData>
                  </a:graphic>
                </wp:inline>
              </w:drawing>
            </w:r>
          </w:p>
        </w:tc>
        <w:tc>
          <w:tcPr>
            <w:tcW w:w="4153" w:type="dxa"/>
            <w:tcBorders>
              <w:top w:val="nil"/>
              <w:left w:val="nil"/>
              <w:bottom w:val="single" w:color="000000" w:sz="4" w:space="0"/>
              <w:right w:val="single" w:color="000000" w:sz="4" w:space="0"/>
            </w:tcBorders>
            <w:tcMar>
              <w:top w:w="0" w:type="dxa"/>
              <w:left w:w="105" w:type="dxa"/>
              <w:bottom w:w="0" w:type="dxa"/>
              <w:right w:w="105" w:type="dxa"/>
            </w:tcMar>
            <w:vAlign w:val="top"/>
          </w:tcPr>
          <w:p w14:paraId="6435C4E5">
            <w:pPr>
              <w:pStyle w:val="7"/>
            </w:pPr>
            <w:r>
              <w:drawing>
                <wp:inline distT="0" distB="0" distL="0" distR="0">
                  <wp:extent cx="2499995" cy="2575560"/>
                  <wp:effectExtent l="0" t="0" r="14605" b="15240"/>
                  <wp:docPr id="2" name="Drawing 2" descr="im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rawing 2" descr="img"/>
                          <pic:cNvPicPr>
                            <a:picLocks noChangeAspect="1"/>
                          </pic:cNvPicPr>
                        </pic:nvPicPr>
                        <pic:blipFill>
                          <a:blip r:embed="rId5"/>
                          <a:stretch>
                            <a:fillRect/>
                          </a:stretch>
                        </pic:blipFill>
                        <pic:spPr>
                          <a:xfrm>
                            <a:off x="0" y="0"/>
                            <a:ext cx="2499995" cy="2576040"/>
                          </a:xfrm>
                          <a:prstGeom prst="rect">
                            <a:avLst/>
                          </a:prstGeom>
                        </pic:spPr>
                      </pic:pic>
                    </a:graphicData>
                  </a:graphic>
                </wp:inline>
              </w:drawing>
            </w:r>
          </w:p>
        </w:tc>
      </w:tr>
    </w:tbl>
    <w:p w14:paraId="6B026973">
      <w:pPr>
        <w:rPr>
          <w:rFonts w:hint="eastAsia" w:ascii="宋体" w:hAnsi="宋体" w:eastAsia="宋体" w:cs="宋体"/>
          <w:sz w:val="21"/>
          <w:szCs w:val="21"/>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64865D5"/>
    <w:rsid w:val="064865D5"/>
    <w:rsid w:val="12637B5F"/>
    <w:rsid w:val="354653F5"/>
    <w:rsid w:val="3AF91E0A"/>
    <w:rsid w:val="4306667C"/>
    <w:rsid w:val="61B02251"/>
    <w:rsid w:val="675D20A2"/>
    <w:rsid w:val="7BFA49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Plain Text"/>
    <w:basedOn w:val="1"/>
    <w:semiHidden/>
    <w:unhideWhenUsed/>
    <w:qFormat/>
    <w:uiPriority w:val="0"/>
    <w:rPr>
      <w:rFonts w:ascii="宋体" w:hAnsi="Courier New" w:cs="Courier New"/>
      <w:szCs w:val="21"/>
    </w:rPr>
  </w:style>
  <w:style w:type="paragraph" w:customStyle="1" w:styleId="6">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7">
    <w:name w:val="null3"/>
    <w:hidden/>
    <w:qFormat/>
    <w:uiPriority w:val="0"/>
    <w:rPr>
      <w:rFonts w:hint="eastAsia" w:asciiTheme="minorHAnsi" w:hAnsiTheme="minorHAnsi" w:eastAsiaTheme="minorEastAsia" w:cstheme="minorBidi"/>
      <w:lang w:val="en-US" w:eastAsia="zh-Hans"/>
    </w:rPr>
  </w:style>
  <w:style w:type="paragraph" w:customStyle="1" w:styleId="8">
    <w:name w:val="正文缩进2格"/>
    <w:basedOn w:val="1"/>
    <w:next w:val="1"/>
    <w:qFormat/>
    <w:uiPriority w:val="0"/>
    <w:pPr>
      <w:spacing w:line="600" w:lineRule="exact"/>
      <w:ind w:firstLine="639" w:firstLineChars="206"/>
    </w:pPr>
    <w:rPr>
      <w:rFonts w:ascii="仿宋_GB2312" w:hAnsi="宋体" w:eastAsia="仿宋_GB2312"/>
      <w:sz w:val="31"/>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7446</Words>
  <Characters>7669</Characters>
  <Lines>0</Lines>
  <Paragraphs>0</Paragraphs>
  <TotalTime>326</TotalTime>
  <ScaleCrop>false</ScaleCrop>
  <LinksUpToDate>false</LinksUpToDate>
  <CharactersWithSpaces>7811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2025-04-08T01:38:00Z</dcterms:created>
  <dc:creator>王洪强</dc:creator>
  <cp:lastModifiedBy>总务</cp:lastModifiedBy>
  <cp:lastPrinted>2025-04-08T07:19:00Z</cp:lastPrinted>
  <dcterms:modified xsi:type="dcterms:W3CDTF">2025-04-10T06:38:03Z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334CC0EFC06648F5B241E564BA61BF53_11</vt:lpwstr>
  </property>
  <property fmtid="{D5CDD505-2E9C-101B-9397-08002B2CF9AE}" pid="4" name="KSOTemplateDocerSaveRecord">
    <vt:lpwstr>eyJoZGlkIjoiMjQzY2EzNzFiMGVjYzU2YjA3ZWY2NWI5ZjA4NzVjY2IifQ==</vt:lpwstr>
  </property>
</Properties>
</file>